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57A" w14:textId="77777777" w:rsidR="00A70150" w:rsidRDefault="00000000">
      <w:pPr>
        <w:tabs>
          <w:tab w:val="left" w:pos="993"/>
          <w:tab w:val="left" w:pos="9720"/>
        </w:tabs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СООБЩЕНИЕ</w:t>
      </w:r>
    </w:p>
    <w:p w14:paraId="33F40FC0" w14:textId="77777777" w:rsidR="00A70150" w:rsidRDefault="00000000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pacing w:val="-6"/>
          <w:sz w:val="28"/>
          <w:szCs w:val="28"/>
          <w:highlight w:val="white"/>
        </w:rPr>
        <w:t xml:space="preserve">Об итогах </w:t>
      </w:r>
      <w:r>
        <w:rPr>
          <w:b/>
          <w:bCs/>
          <w:sz w:val="28"/>
          <w:szCs w:val="28"/>
        </w:rPr>
        <w:t>осуществления преимущественного права приобретения</w:t>
      </w:r>
    </w:p>
    <w:p w14:paraId="350CF7D7" w14:textId="77777777" w:rsidR="00A70150" w:rsidRDefault="00000000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bCs/>
          <w:color w:val="000000" w:themeColor="text1"/>
          <w:spacing w:val="-6"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ценных бумаг дополнительного выпуска</w:t>
      </w:r>
    </w:p>
    <w:p w14:paraId="4D8CCAB2" w14:textId="77777777" w:rsidR="00A70150" w:rsidRDefault="00000000">
      <w:pPr>
        <w:shd w:val="clear" w:color="auto" w:fill="FFFFFF"/>
        <w:tabs>
          <w:tab w:val="left" w:pos="993"/>
          <w:tab w:val="left" w:leader="underscore" w:pos="8789"/>
        </w:tabs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АО </w:t>
      </w:r>
      <w:r>
        <w:rPr>
          <w:b/>
          <w:bCs/>
          <w:color w:val="000000" w:themeColor="text1"/>
          <w:spacing w:val="-7"/>
          <w:sz w:val="28"/>
          <w:szCs w:val="28"/>
          <w:highlight w:val="white"/>
        </w:rPr>
        <w:t>«Газпром газораспределение Пермь»</w:t>
      </w:r>
    </w:p>
    <w:p w14:paraId="2D48F578" w14:textId="77777777" w:rsidR="00A70150" w:rsidRDefault="00A70150">
      <w:pPr>
        <w:shd w:val="clear" w:color="auto" w:fill="FFFFFF"/>
        <w:tabs>
          <w:tab w:val="left" w:pos="993"/>
          <w:tab w:val="left" w:pos="9720"/>
        </w:tabs>
        <w:jc w:val="center"/>
        <w:rPr>
          <w:color w:val="000000" w:themeColor="text1"/>
          <w:highlight w:val="white"/>
        </w:rPr>
      </w:pPr>
    </w:p>
    <w:p w14:paraId="62FDB829" w14:textId="77777777" w:rsidR="00A70150" w:rsidRDefault="00000000">
      <w:pPr>
        <w:pStyle w:val="1"/>
        <w:tabs>
          <w:tab w:val="left" w:pos="993"/>
          <w:tab w:val="left" w:pos="9720"/>
        </w:tabs>
        <w:spacing w:after="60"/>
        <w:rPr>
          <w:bCs w:val="0"/>
          <w:color w:val="000000" w:themeColor="text1"/>
          <w:spacing w:val="0"/>
          <w:sz w:val="28"/>
          <w:szCs w:val="28"/>
          <w:highlight w:val="white"/>
        </w:rPr>
      </w:pPr>
      <w:r>
        <w:rPr>
          <w:bCs w:val="0"/>
          <w:color w:val="000000" w:themeColor="text1"/>
          <w:spacing w:val="0"/>
          <w:sz w:val="28"/>
          <w:szCs w:val="28"/>
          <w:highlight w:val="white"/>
        </w:rPr>
        <w:t>УВАЖАЕМЫЙ АКЦИОНЕР!</w:t>
      </w:r>
    </w:p>
    <w:p w14:paraId="3A8EE63F" w14:textId="77777777" w:rsidR="00A70150" w:rsidRDefault="00A70150">
      <w:pPr>
        <w:rPr>
          <w:sz w:val="28"/>
          <w:szCs w:val="28"/>
          <w:highlight w:val="white"/>
        </w:rPr>
      </w:pPr>
    </w:p>
    <w:p w14:paraId="1723C133" w14:textId="77777777" w:rsidR="00A70150" w:rsidRDefault="00000000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Акционерное общество «Газпром газораспределение Пермь» (далее также – Общество), (614000, ПЕРМСКИЙ КРАЙ, Г. ПЕРМЬ, </w:t>
      </w:r>
      <w:r>
        <w:rPr>
          <w:bCs/>
          <w:iCs/>
          <w:sz w:val="28"/>
          <w:szCs w:val="28"/>
        </w:rPr>
        <w:br/>
        <w:t>УЛ. ПЕТРОПАВЛОВСКАЯ, Д. 43, ИНН: 5902183841, ОГРН: 1025900512670), сообщает что</w:t>
      </w:r>
      <w:r>
        <w:rPr>
          <w:bCs/>
          <w:iCs/>
          <w:sz w:val="28"/>
          <w:szCs w:val="28"/>
          <w:highlight w:val="white"/>
        </w:rPr>
        <w:t xml:space="preserve"> по состоянию на 15.09.2025 </w:t>
      </w:r>
      <w:r>
        <w:rPr>
          <w:b/>
          <w:bCs/>
          <w:iCs/>
          <w:sz w:val="28"/>
          <w:szCs w:val="28"/>
          <w:highlight w:val="white"/>
        </w:rPr>
        <w:t xml:space="preserve">подведены итоги </w:t>
      </w:r>
      <w:r>
        <w:rPr>
          <w:bCs/>
          <w:iCs/>
          <w:sz w:val="28"/>
          <w:szCs w:val="28"/>
          <w:highlight w:val="white"/>
        </w:rPr>
        <w:t>осуществления преимущественного права приобретения ценных бумаг</w:t>
      </w:r>
      <w:r>
        <w:rPr>
          <w:bCs/>
          <w:iCs/>
          <w:sz w:val="28"/>
          <w:szCs w:val="28"/>
        </w:rPr>
        <w:t xml:space="preserve"> дополнительного выпуска обыкновенных акций Общества, размещаемых путем закрытой подписки, в соответствии с решени</w:t>
      </w:r>
      <w:r>
        <w:rPr>
          <w:bCs/>
          <w:iCs/>
          <w:sz w:val="28"/>
          <w:szCs w:val="28"/>
          <w:highlight w:val="white"/>
        </w:rPr>
        <w:t>ем Банка России от 29 июля 2025 г.</w:t>
      </w:r>
      <w:r>
        <w:rPr>
          <w:b/>
          <w:i/>
          <w:sz w:val="28"/>
          <w:szCs w:val="28"/>
          <w:highlight w:val="white"/>
        </w:rPr>
        <w:t xml:space="preserve"> </w:t>
      </w:r>
      <w:r>
        <w:rPr>
          <w:b/>
          <w:i/>
          <w:sz w:val="28"/>
          <w:szCs w:val="28"/>
          <w:highlight w:val="white"/>
        </w:rPr>
        <w:br/>
      </w:r>
      <w:r>
        <w:rPr>
          <w:bCs/>
          <w:iCs/>
          <w:sz w:val="28"/>
          <w:szCs w:val="28"/>
          <w:highlight w:val="white"/>
        </w:rPr>
        <w:t xml:space="preserve">(далее также - Акции). Дополнительному выпуску Акций присвоен регистрационный номер </w:t>
      </w:r>
      <w:r>
        <w:rPr>
          <w:sz w:val="28"/>
          <w:szCs w:val="28"/>
          <w:highlight w:val="white"/>
        </w:rPr>
        <w:t>1-10-00060-K-001D</w:t>
      </w:r>
      <w:r>
        <w:rPr>
          <w:bCs/>
          <w:iCs/>
          <w:sz w:val="28"/>
          <w:szCs w:val="28"/>
          <w:highlight w:val="white"/>
        </w:rPr>
        <w:t>.</w:t>
      </w:r>
    </w:p>
    <w:p w14:paraId="51B791DA" w14:textId="77777777" w:rsidR="00A70150" w:rsidRDefault="00000000">
      <w:pPr>
        <w:ind w:firstLine="709"/>
        <w:jc w:val="both"/>
        <w:rPr>
          <w:sz w:val="28"/>
          <w:szCs w:val="28"/>
          <w:highlight w:val="white"/>
        </w:rPr>
      </w:pPr>
      <w:r>
        <w:rPr>
          <w:bCs/>
          <w:iCs/>
          <w:sz w:val="28"/>
          <w:szCs w:val="28"/>
        </w:rPr>
        <w:t>В период с 02.08.2025 по 15.09.2025 включительно (срок действия преимущественного права приобретения ценных бумаг дополнительного выпуска) заявлений, сообщений о волеизъявлении лиц, прошедших положительную экспертизу, в адрес Общества и реестродержателя АО «ДРАГА» не поступало.</w:t>
      </w:r>
    </w:p>
    <w:sectPr w:rsidR="00A70150">
      <w:pgSz w:w="11909" w:h="16834"/>
      <w:pgMar w:top="1134" w:right="710" w:bottom="851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812F" w14:textId="77777777" w:rsidR="005145BD" w:rsidRDefault="005145BD">
      <w:r>
        <w:separator/>
      </w:r>
    </w:p>
  </w:endnote>
  <w:endnote w:type="continuationSeparator" w:id="0">
    <w:p w14:paraId="65D0DC93" w14:textId="77777777" w:rsidR="005145BD" w:rsidRDefault="0051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CE3E" w14:textId="77777777" w:rsidR="005145BD" w:rsidRDefault="005145BD">
      <w:r>
        <w:separator/>
      </w:r>
    </w:p>
  </w:footnote>
  <w:footnote w:type="continuationSeparator" w:id="0">
    <w:p w14:paraId="12C1418E" w14:textId="77777777" w:rsidR="005145BD" w:rsidRDefault="0051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64D"/>
    <w:multiLevelType w:val="hybridMultilevel"/>
    <w:tmpl w:val="77E4E2EA"/>
    <w:lvl w:ilvl="0" w:tplc="D3562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2C42DB8">
      <w:start w:val="1"/>
      <w:numFmt w:val="lowerLetter"/>
      <w:lvlText w:val="%2."/>
      <w:lvlJc w:val="left"/>
      <w:pPr>
        <w:ind w:left="1789" w:hanging="360"/>
      </w:pPr>
    </w:lvl>
    <w:lvl w:ilvl="2" w:tplc="60CCE0CA">
      <w:start w:val="1"/>
      <w:numFmt w:val="lowerRoman"/>
      <w:lvlText w:val="%3."/>
      <w:lvlJc w:val="right"/>
      <w:pPr>
        <w:ind w:left="2509" w:hanging="180"/>
      </w:pPr>
    </w:lvl>
    <w:lvl w:ilvl="3" w:tplc="41BAD1B8">
      <w:start w:val="1"/>
      <w:numFmt w:val="decimal"/>
      <w:lvlText w:val="%4."/>
      <w:lvlJc w:val="left"/>
      <w:pPr>
        <w:ind w:left="3229" w:hanging="360"/>
      </w:pPr>
    </w:lvl>
    <w:lvl w:ilvl="4" w:tplc="1122C4CC">
      <w:start w:val="1"/>
      <w:numFmt w:val="lowerLetter"/>
      <w:lvlText w:val="%5."/>
      <w:lvlJc w:val="left"/>
      <w:pPr>
        <w:ind w:left="3949" w:hanging="360"/>
      </w:pPr>
    </w:lvl>
    <w:lvl w:ilvl="5" w:tplc="5DAE6108">
      <w:start w:val="1"/>
      <w:numFmt w:val="lowerRoman"/>
      <w:lvlText w:val="%6."/>
      <w:lvlJc w:val="right"/>
      <w:pPr>
        <w:ind w:left="4669" w:hanging="180"/>
      </w:pPr>
    </w:lvl>
    <w:lvl w:ilvl="6" w:tplc="0206F60A">
      <w:start w:val="1"/>
      <w:numFmt w:val="decimal"/>
      <w:lvlText w:val="%7."/>
      <w:lvlJc w:val="left"/>
      <w:pPr>
        <w:ind w:left="5389" w:hanging="360"/>
      </w:pPr>
    </w:lvl>
    <w:lvl w:ilvl="7" w:tplc="9A06681C">
      <w:start w:val="1"/>
      <w:numFmt w:val="lowerLetter"/>
      <w:lvlText w:val="%8."/>
      <w:lvlJc w:val="left"/>
      <w:pPr>
        <w:ind w:left="6109" w:hanging="360"/>
      </w:pPr>
    </w:lvl>
    <w:lvl w:ilvl="8" w:tplc="73AE51B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E014B"/>
    <w:multiLevelType w:val="hybridMultilevel"/>
    <w:tmpl w:val="96EA3CAA"/>
    <w:lvl w:ilvl="0" w:tplc="A072C5E6">
      <w:start w:val="1"/>
      <w:numFmt w:val="decimal"/>
      <w:lvlText w:val="%1."/>
      <w:lvlJc w:val="left"/>
      <w:pPr>
        <w:ind w:left="1429" w:hanging="360"/>
      </w:pPr>
    </w:lvl>
    <w:lvl w:ilvl="1" w:tplc="B13A9D52">
      <w:start w:val="1"/>
      <w:numFmt w:val="lowerLetter"/>
      <w:lvlText w:val="%2."/>
      <w:lvlJc w:val="left"/>
      <w:pPr>
        <w:ind w:left="2149" w:hanging="360"/>
      </w:pPr>
    </w:lvl>
    <w:lvl w:ilvl="2" w:tplc="D79AEED6">
      <w:start w:val="1"/>
      <w:numFmt w:val="lowerRoman"/>
      <w:lvlText w:val="%3."/>
      <w:lvlJc w:val="right"/>
      <w:pPr>
        <w:ind w:left="2869" w:hanging="180"/>
      </w:pPr>
    </w:lvl>
    <w:lvl w:ilvl="3" w:tplc="2634095C">
      <w:start w:val="1"/>
      <w:numFmt w:val="decimal"/>
      <w:lvlText w:val="%4."/>
      <w:lvlJc w:val="left"/>
      <w:pPr>
        <w:ind w:left="3589" w:hanging="360"/>
      </w:pPr>
    </w:lvl>
    <w:lvl w:ilvl="4" w:tplc="676856E2">
      <w:start w:val="1"/>
      <w:numFmt w:val="lowerLetter"/>
      <w:lvlText w:val="%5."/>
      <w:lvlJc w:val="left"/>
      <w:pPr>
        <w:ind w:left="4309" w:hanging="360"/>
      </w:pPr>
    </w:lvl>
    <w:lvl w:ilvl="5" w:tplc="74A20D3C">
      <w:start w:val="1"/>
      <w:numFmt w:val="lowerRoman"/>
      <w:lvlText w:val="%6."/>
      <w:lvlJc w:val="right"/>
      <w:pPr>
        <w:ind w:left="5029" w:hanging="180"/>
      </w:pPr>
    </w:lvl>
    <w:lvl w:ilvl="6" w:tplc="1A36D69C">
      <w:start w:val="1"/>
      <w:numFmt w:val="decimal"/>
      <w:lvlText w:val="%7."/>
      <w:lvlJc w:val="left"/>
      <w:pPr>
        <w:ind w:left="5749" w:hanging="360"/>
      </w:pPr>
    </w:lvl>
    <w:lvl w:ilvl="7" w:tplc="9DA696DC">
      <w:start w:val="1"/>
      <w:numFmt w:val="lowerLetter"/>
      <w:lvlText w:val="%8."/>
      <w:lvlJc w:val="left"/>
      <w:pPr>
        <w:ind w:left="6469" w:hanging="360"/>
      </w:pPr>
    </w:lvl>
    <w:lvl w:ilvl="8" w:tplc="0956882C">
      <w:start w:val="1"/>
      <w:numFmt w:val="lowerRoman"/>
      <w:lvlText w:val="%9."/>
      <w:lvlJc w:val="right"/>
      <w:pPr>
        <w:ind w:left="7189" w:hanging="180"/>
      </w:pPr>
    </w:lvl>
  </w:abstractNum>
  <w:num w:numId="1" w16cid:durableId="1015767432">
    <w:abstractNumId w:val="1"/>
  </w:num>
  <w:num w:numId="2" w16cid:durableId="4604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50"/>
    <w:rsid w:val="001443C6"/>
    <w:rsid w:val="005145BD"/>
    <w:rsid w:val="007F10FA"/>
    <w:rsid w:val="00A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D2BB5"/>
  <w15:docId w15:val="{ADFCF57B-69B5-44D1-BAB1-944B107B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0149-BE28-4D98-8E56-3C9EE65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Кунаева Маргарита Викторовна</dc:creator>
  <cp:keywords/>
  <dc:description/>
  <cp:lastModifiedBy>Чагин Николай Викторович</cp:lastModifiedBy>
  <cp:revision>2</cp:revision>
  <dcterms:created xsi:type="dcterms:W3CDTF">2025-09-18T04:49:00Z</dcterms:created>
  <dcterms:modified xsi:type="dcterms:W3CDTF">2025-09-18T04:49:00Z</dcterms:modified>
</cp:coreProperties>
</file>