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№1 к договору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«___»____________ 20 ____ г.</w:t>
      </w:r>
      <w:r>
        <w:rPr>
          <w:rFonts w:ascii="Times New Roman" w:hAnsi="Times New Roman" w:cs="Times New Roman"/>
          <w:b/>
          <w:sz w:val="20"/>
          <w:szCs w:val="20"/>
        </w:rPr>
        <w:t xml:space="preserve"> № 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 техническом обслуживании внутридомового газового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оборудования в жилом доме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Пермь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«______»____________ 20___ г.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42"/>
        <w:jc w:val="both"/>
        <w:spacing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Акционерное общество «Газпром газораспределение Пермь», именуемое </w:t>
      </w:r>
      <w:r>
        <w:rPr>
          <w:rFonts w:ascii="Times New Roman" w:hAnsi="Times New Roman" w:cs="Times New Roman"/>
          <w:sz w:val="20"/>
          <w:szCs w:val="20"/>
        </w:rPr>
        <w:br/>
        <w:t xml:space="preserve">в дальнейшем Исполнитель, в лице ______________________________________________________________, действующего на основании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_______________________________________________________________, именуемый в дальнейшем Заказчик, с другой стороны, далее совместно именуемые «Стороны», заключили настоящее Дополнительное соглашение № ____ к Договору </w:t>
      </w:r>
      <w:r>
        <w:rPr>
          <w:rFonts w:ascii="Times New Roman" w:hAnsi="Times New Roman" w:cs="Times New Roman"/>
          <w:sz w:val="20"/>
          <w:szCs w:val="20"/>
        </w:rPr>
        <w:br/>
        <w:t xml:space="preserve">от «______»______</w:t>
      </w:r>
      <w:r>
        <w:rPr>
          <w:rFonts w:ascii="Times New Roman" w:hAnsi="Times New Roman" w:cs="Times New Roman"/>
          <w:sz w:val="20"/>
          <w:szCs w:val="20"/>
        </w:rPr>
        <w:t xml:space="preserve">______ 20 ____ г. № ____________ (далее - Договор), </w:t>
      </w:r>
      <w:r>
        <w:rPr>
          <w:rFonts w:ascii="Times New Roman" w:hAnsi="Times New Roman" w:cs="Times New Roman"/>
          <w:sz w:val="20"/>
          <w:szCs w:val="20"/>
        </w:rPr>
        <w:br/>
        <w:t xml:space="preserve">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п. 10., 11., 14. Договора изложить </w:t>
        <w:br/>
        <w:t xml:space="preserve">в следующей редакции: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10.</w:t>
      </w:r>
      <w:r>
        <w:rPr>
          <w:rFonts w:ascii="Times New Roman" w:hAnsi="Times New Roman" w:cs="Times New Roman"/>
          <w:sz w:val="20"/>
          <w:szCs w:val="20"/>
        </w:rPr>
        <w:tab/>
        <w:t xml:space="preserve">Оплата работ (услуг) по настоящему Договору осуществляется Заказчиком в соответствии с Прей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курантом Исполнителя на техническое обслуживание и ремонт внутридомового и внутриквартирного газового оборудования, действующим на момент выполнения работ (оказания услуг), установленным (разработанным) </w:t>
        <w:br/>
        <w:t xml:space="preserve">в соответствии с действующим законодательством. Прей</w:t>
      </w:r>
      <w:r>
        <w:rPr>
          <w:rFonts w:ascii="Times New Roman" w:hAnsi="Times New Roman" w:cs="Times New Roman"/>
          <w:sz w:val="20"/>
          <w:szCs w:val="20"/>
        </w:rPr>
        <w:t xml:space="preserve">скурант Исполнителя размещен на официальном сайте Исполнителя в сети Интернет по адресу. </w:t>
      </w:r>
      <w:hyperlink r:id="rId10" w:tooltip="http://www.beloblgaz.ru" w:history="1">
        <w:r>
          <w:rPr>
            <w:rFonts w:ascii="Times New Roman" w:hAnsi="Times New Roman" w:cs="Times New Roman"/>
            <w:sz w:val="20"/>
            <w:szCs w:val="20"/>
          </w:rPr>
          <w:t xml:space="preserve">»</w:t>
        </w:r>
      </w:hyperlink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11.</w:t>
      </w:r>
      <w:r>
        <w:rPr>
          <w:rFonts w:ascii="Times New Roman" w:hAnsi="Times New Roman" w:cs="Times New Roman"/>
          <w:sz w:val="20"/>
          <w:szCs w:val="20"/>
        </w:rPr>
        <w:tab/>
        <w:t xml:space="preserve">Стоимость работ (услуг) по техническому обслуживанию ВДГО указана в П</w:t>
      </w:r>
      <w:hyperlink w:tooltip="#P631" w:anchor="P631" w:history="1">
        <w:r>
          <w:rPr>
            <w:rFonts w:ascii="Times New Roman" w:hAnsi="Times New Roman" w:cs="Times New Roman"/>
            <w:sz w:val="20"/>
            <w:szCs w:val="20"/>
          </w:rPr>
          <w:t xml:space="preserve">риложении №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работ (услуг) по техническому обслуживанию ВДГО в год на дату вступления в силу настоящего Договора составляет ________________________ руб. (________________________ рублей __________________</w:t>
      </w:r>
      <w:r>
        <w:rPr>
          <w:rFonts w:ascii="Times New Roman" w:hAnsi="Times New Roman" w:cs="Times New Roman"/>
          <w:sz w:val="20"/>
          <w:szCs w:val="20"/>
        </w:rPr>
        <w:t xml:space="preserve">__ копеек), в </w:t>
      </w:r>
      <w:r>
        <w:rPr>
          <w:rFonts w:ascii="Times New Roman" w:hAnsi="Times New Roman" w:cs="Times New Roman"/>
          <w:sz w:val="20"/>
          <w:szCs w:val="20"/>
        </w:rPr>
        <w:t xml:space="preserve">т.ч</w:t>
      </w:r>
      <w:r>
        <w:rPr>
          <w:rFonts w:ascii="Times New Roman" w:hAnsi="Times New Roman" w:cs="Times New Roman"/>
          <w:sz w:val="20"/>
          <w:szCs w:val="20"/>
        </w:rPr>
        <w:t xml:space="preserve">. НДС _____% - ________________________________ руб. (___________________ рублей ____ копеек).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пролонгации договора на новый срок, в последующем стоимость работ (услуг) по техническому обслуживанию ВДГО по Договору будет уст</w:t>
      </w: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навливаться ежегодно Исполнителем с учетом </w:t>
      </w:r>
      <w:r>
        <w:rPr>
          <w:rFonts w:ascii="Times New Roman" w:hAnsi="Times New Roman" w:cs="Times New Roman"/>
          <w:sz w:val="20"/>
          <w:szCs w:val="20"/>
        </w:rPr>
        <w:t xml:space="preserve">требований действующего законодательства</w:t>
      </w:r>
      <w:commentRangeStart w:id="0"/>
      <w:r>
        <w:rPr>
          <w:rFonts w:ascii="Times New Roman" w:hAnsi="Times New Roman" w:cs="Times New Roman"/>
          <w:sz w:val="20"/>
          <w:szCs w:val="20"/>
        </w:rPr>
      </w:r>
      <w:commentRangeEnd w:id="0"/>
      <w:r>
        <w:commentReference w:id="0"/>
      </w:r>
      <w:r>
        <w:rPr>
          <w:rFonts w:ascii="Times New Roman" w:hAnsi="Times New Roman" w:cs="Times New Roman"/>
          <w:sz w:val="20"/>
          <w:szCs w:val="20"/>
        </w:rPr>
        <w:t xml:space="preserve">, о чем Исполнитель уведомляет Заказчика путем опубликования указанных сведений на официальном сайте Исполни</w:t>
      </w:r>
      <w:r>
        <w:rPr>
          <w:rFonts w:ascii="Times New Roman" w:hAnsi="Times New Roman" w:cs="Times New Roman"/>
          <w:sz w:val="20"/>
          <w:szCs w:val="20"/>
        </w:rPr>
        <w:t xml:space="preserve">теля http:// www.ugaz.ru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commentRangeStart w:id="1"/>
      <w:commentRangeEnd w:id="1"/>
      <w:r>
        <w:commentReference w:id="1"/>
      </w:r>
      <w:r>
        <w:rPr>
          <w:rFonts w:ascii="Times New Roman" w:hAnsi="Times New Roman" w:cs="Times New Roman"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14. Настоящий Договор вступает в силу со дня заключения в порядке, предусмотренном </w:t>
      </w:r>
      <w:hyperlink r:id="rId11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20"/>
            <w:szCs w:val="20"/>
          </w:rPr>
          <w:t xml:space="preserve"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считается пролонгированным на тот же срок и на тех же условиях </w:t>
        <w:br/>
        <w:t xml:space="preserve">в случае, если ни одна из сторон за тридцать дней до истечения срока действия настоящего Договор</w:t>
      </w:r>
      <w:r>
        <w:rPr>
          <w:rFonts w:ascii="Times New Roman" w:hAnsi="Times New Roman" w:cs="Times New Roman"/>
          <w:sz w:val="20"/>
          <w:szCs w:val="20"/>
        </w:rPr>
        <w:t xml:space="preserve">а не уведомила письменно другую сторону о его прекращении.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подписания настоящего Договора, все ранее заключённые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с Исполнителем договоры считать расторгнутыми.»</w:t>
      </w:r>
      <w:r>
        <w:rPr>
          <w:rFonts w:ascii="Times New Roman" w:hAnsi="Times New Roman" w:cs="Times New Roman"/>
          <w:strike/>
          <w:sz w:val="18"/>
          <w:szCs w:val="18"/>
        </w:rPr>
      </w:r>
      <w:r>
        <w:rPr>
          <w:rFonts w:ascii="Times New Roman" w:hAnsi="Times New Roman" w:cs="Times New Roman"/>
          <w:strike/>
          <w:sz w:val="18"/>
          <w:szCs w:val="18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добавить в Договор п. 23.1 </w:t>
      </w: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в следующей редакции: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23.1.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Гарантийный срок на выполненные работы (оказанные услуги) по техническому обслуживанию ВДГО составляет один год с момента подписания акта приемки выполненных работ (оказанных услуг). Гарантия распространяется только </w:t>
        <w:br/>
        <w:t xml:space="preserve">на выполненные работы (оказанные услуг)</w:t>
      </w:r>
      <w:r>
        <w:rPr>
          <w:rFonts w:ascii="Times New Roman" w:hAnsi="Times New Roman" w:cs="Times New Roman"/>
          <w:sz w:val="20"/>
          <w:szCs w:val="20"/>
        </w:rPr>
        <w:t xml:space="preserve"> по ТО ВДГО.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Приложение № 2 Договора изложить </w:t>
        <w:br/>
        <w:t xml:space="preserve">в редакции Приложения № 1 к настоящему Дополнительному соглашению.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Дополнительным соглашением, Стороны руководствуются условиями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вступает в силу с даты подписания и распространяет действие на правоотношения Сторон, возникшие </w:t>
        <w:br/>
        <w:t xml:space="preserve">с </w:t>
      </w:r>
      <w:r>
        <w:rPr>
          <w:rFonts w:ascii="Times New Roman" w:hAnsi="Times New Roman" w:cs="Times New Roman"/>
          <w:sz w:val="20"/>
          <w:szCs w:val="20"/>
        </w:rPr>
        <w:t xml:space="preserve">«____» _____________ 20 ____ г., является неотъемлемой частью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85"/>
        <w:numPr>
          <w:ilvl w:val="0"/>
          <w:numId w:val="7"/>
        </w:numPr>
        <w:contextualSpacing/>
        <w:ind w:left="0" w:firstLine="709"/>
        <w:jc w:val="center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Юридические адреса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</w:p>
    <w:tbl>
      <w:tblPr>
        <w:tblW w:w="7790" w:type="dxa"/>
        <w:tblLayout w:type="fixed"/>
        <w:tblLook w:val="01E0" w:firstRow="1" w:lastRow="1" w:firstColumn="1" w:lastColumn="1" w:noHBand="0" w:noVBand="0"/>
      </w:tblPr>
      <w:tblGrid>
        <w:gridCol w:w="4270"/>
        <w:gridCol w:w="3520"/>
      </w:tblGrid>
      <w:tr>
        <w:tblPrEx/>
        <w:trPr>
          <w:trHeight w:val="406"/>
        </w:trPr>
        <w:tc>
          <w:tcPr>
            <w:shd w:val="clear" w:color="auto" w:fill="auto"/>
            <w:tcW w:w="42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672"/>
        </w:trPr>
        <w:tc>
          <w:tcPr>
            <w:shd w:val="clear" w:color="auto" w:fill="auto"/>
            <w:tcW w:w="4270" w:type="dxa"/>
            <w:textDirection w:val="lrTb"/>
            <w:noWrap w:val="false"/>
          </w:tcPr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614000, Пермский край, 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ул. Петропавловская, 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Почтовый адрес: 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филиал АО «Газпром газораспределение Пермь»________________________________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КПП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БИК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К/счет  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Р/счет 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тел. _____________, факс 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и место рождения 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_________________________________паспорт__________________________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выдан___________________________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Адрес: _________________________________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Контактный телефон_______________ Электронная почта 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142"/>
        <w:spacing w:after="0" w:line="240" w:lineRule="auto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tbl>
      <w:tblPr>
        <w:tblW w:w="779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8"/>
        <w:gridCol w:w="3826"/>
      </w:tblGrid>
      <w:tr>
        <w:tblPrEx/>
        <w:trPr>
          <w:trHeight w:val="179"/>
        </w:trPr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1"/>
        </w:trPr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39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______________________ / _________________/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/_____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p>
      <w:pPr>
        <w:rPr>
          <w:rFonts w:ascii="Times New Roman" w:hAnsi="Times New Roman" w:eastAsia="Times New Roman" w:cs="Times New Roman"/>
          <w:sz w:val="12"/>
          <w:szCs w:val="12"/>
          <w:lang w:eastAsia="ru-RU"/>
        </w:rPr>
        <w:sectPr>
          <w:footnotePr/>
          <w:endnotePr/>
          <w:type w:val="nextPage"/>
          <w:pgSz w:w="16839" w:h="11907" w:orient="landscape"/>
          <w:pgMar w:top="567" w:right="425" w:bottom="850" w:left="567" w:header="708" w:footer="708" w:gutter="0"/>
          <w:cols w:num="2" w:sep="0" w:space="537" w:equalWidth="1"/>
          <w:docGrid w:linePitch="360"/>
        </w:sect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p>
      <w:pPr>
        <w:ind w:firstLine="142"/>
        <w:jc w:val="right"/>
        <w:spacing w:after="0" w:line="240" w:lineRule="auto"/>
        <w:rPr>
          <w:rFonts w:ascii="Times New Roman" w:hAnsi="Times New Roman" w:cs="Times New Roman"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t xml:space="preserve">Приложен</w:t>
      </w:r>
      <w:r>
        <w:rPr>
          <w:rFonts w:ascii="Times New Roman" w:hAnsi="Times New Roman" w:cs="Times New Roman"/>
          <w:sz w:val="18"/>
          <w:szCs w:val="18"/>
        </w:rPr>
        <w:t xml:space="preserve">ие № 1 </w:t>
      </w:r>
      <w:r>
        <w:rPr>
          <w:rFonts w:ascii="Times New Roman" w:hAnsi="Times New Roman" w:cs="Times New Roman"/>
          <w:sz w:val="18"/>
          <w:szCs w:val="18"/>
        </w:rPr>
        <w:t xml:space="preserve">к дополнительному соглашению №1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 xml:space="preserve">«______»______</w:t>
      </w:r>
      <w:r>
        <w:rPr>
          <w:rFonts w:ascii="Times New Roman" w:hAnsi="Times New Roman" w:cs="Times New Roman"/>
          <w:sz w:val="18"/>
          <w:szCs w:val="18"/>
        </w:rPr>
        <w:t xml:space="preserve">______ 20 ____ г. 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p>
      <w:pPr>
        <w:pStyle w:val="885"/>
        <w:jc w:val="right"/>
        <w:rPr>
          <w:rFonts w:ascii="Times New Roman" w:hAnsi="Times New Roman" w:cs="Times New Roman"/>
          <w:sz w:val="18"/>
          <w:szCs w:val="18"/>
          <w14:ligatures w14:val="none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по изменению Приложения № 2 к Договору о ТО ВДГО в</w:t>
      </w:r>
      <w:r>
        <w:rPr>
          <w:rFonts w:ascii="Times New Roman" w:hAnsi="Times New Roman" w:cs="Times New Roman"/>
          <w:sz w:val="18"/>
          <w:szCs w:val="18"/>
        </w:rPr>
        <w:t xml:space="preserve"> жилом доме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p>
      <w:pPr>
        <w:pStyle w:val="885"/>
        <w:jc w:val="right"/>
        <w:rPr>
          <w:rFonts w:ascii="Times New Roman" w:hAnsi="Times New Roman" w:cs="Times New Roman"/>
          <w:sz w:val="18"/>
          <w:szCs w:val="18"/>
          <w14:ligatures w14:val="none"/>
        </w:rPr>
        <w:outlineLvl w:val="1"/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t xml:space="preserve">от «______»______</w:t>
      </w:r>
      <w:r>
        <w:rPr>
          <w:rFonts w:ascii="Times New Roman" w:hAnsi="Times New Roman" w:cs="Times New Roman"/>
          <w:sz w:val="18"/>
          <w:szCs w:val="18"/>
        </w:rPr>
        <w:t xml:space="preserve">______ 20 ____ г. № ____________ 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tbl>
      <w:tblPr>
        <w:tblW w:w="1494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9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/>
            <w:bookmarkStart w:id="1" w:name="undefined"/>
            <w:r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выполняемых работ (оказываемых услуг) по техническому обслуживанию ВДГО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жилом доме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8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W w:w="14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7"/>
        <w:gridCol w:w="3030"/>
        <w:gridCol w:w="1984"/>
        <w:gridCol w:w="1417"/>
        <w:gridCol w:w="1134"/>
        <w:gridCol w:w="1276"/>
        <w:gridCol w:w="817"/>
        <w:gridCol w:w="945"/>
        <w:gridCol w:w="931"/>
        <w:gridCol w:w="869"/>
        <w:gridCol w:w="832"/>
        <w:gridCol w:w="992"/>
      </w:tblGrid>
      <w:tr>
        <w:tblPrEx/>
        <w:trPr>
          <w:trHeight w:val="802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работ (услуг)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ВДГО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жилом доме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начала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окончания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за единицу обслуживания ВДГО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жилом доме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  <w:br/>
              <w:t xml:space="preserve">(без НДС), руб./год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(с НДС)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lef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8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8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8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8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8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335"/>
      </w:tblGrid>
      <w:tr>
        <w:tblPrEx/>
        <w:trPr>
          <w:trHeight w:val="191"/>
        </w:trPr>
        <w:tc>
          <w:tcPr>
            <w:gridSpan w:val="3"/>
            <w:tcW w:w="14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Подписи Сторон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(подпись)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(инициалы, фамилия)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                      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8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pStyle w:val="88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«______»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ind w:firstLine="142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6839" w:h="11907" w:orient="landscape"/>
      <w:pgMar w:top="567" w:right="1390" w:bottom="850" w:left="567" w:header="708" w:footer="708" w:gutter="0"/>
      <w:cols w:num="1" w:sep="0" w:space="537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d10192" w:date="2025-03-19T10:08:31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ПФ предлагают убрать, что бы исключить возможные требования Заказчика об альтернативных способах уведомления об изменении Прейскуранта, оставить только сайт.</w:t>
      </w:r>
    </w:p>
  </w:comment>
  <w:comment w:id="0" w:author="id10192" w:date="2025-03-13T13:22:54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C3B4CF" w16cex:dateUtc="2025-03-19T05:08:31Z"/>
  <w16cex:commentExtensible w16cex:durableId="6BB87A26" w16cex:dateUtc="2025-03-13T08:22: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8C3B4CF"/>
  <w16cid:commentId w16cid:paraId="00000002" w16cid:durableId="6BB87A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0" w:hanging="9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10192">
    <w15:presenceInfo w15:providerId="Teamlab" w15:userId="id10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4"/>
    <w:uiPriority w:val="10"/>
    <w:rPr>
      <w:sz w:val="48"/>
      <w:szCs w:val="48"/>
    </w:rPr>
  </w:style>
  <w:style w:type="character" w:styleId="694">
    <w:name w:val="Subtitle Char"/>
    <w:basedOn w:val="711"/>
    <w:link w:val="726"/>
    <w:uiPriority w:val="11"/>
    <w:rPr>
      <w:sz w:val="24"/>
      <w:szCs w:val="24"/>
    </w:rPr>
  </w:style>
  <w:style w:type="character" w:styleId="695">
    <w:name w:val="Quote Char"/>
    <w:link w:val="728"/>
    <w:uiPriority w:val="29"/>
    <w:rPr>
      <w:i/>
    </w:rPr>
  </w:style>
  <w:style w:type="character" w:styleId="696">
    <w:name w:val="Intense Quote Char"/>
    <w:link w:val="730"/>
    <w:uiPriority w:val="30"/>
    <w:rPr>
      <w:i/>
    </w:rPr>
  </w:style>
  <w:style w:type="character" w:styleId="697">
    <w:name w:val="Header Char"/>
    <w:basedOn w:val="711"/>
    <w:link w:val="732"/>
    <w:uiPriority w:val="99"/>
  </w:style>
  <w:style w:type="character" w:styleId="698">
    <w:name w:val="Caption Char"/>
    <w:basedOn w:val="736"/>
    <w:link w:val="734"/>
    <w:uiPriority w:val="99"/>
  </w:style>
  <w:style w:type="character" w:styleId="699">
    <w:name w:val="Footnote Text Char"/>
    <w:link w:val="865"/>
    <w:uiPriority w:val="99"/>
    <w:rPr>
      <w:sz w:val="18"/>
    </w:rPr>
  </w:style>
  <w:style w:type="character" w:styleId="700">
    <w:name w:val="Endnote Text Char"/>
    <w:link w:val="868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701"/>
    <w:next w:val="701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1"/>
    <w:link w:val="724"/>
    <w:uiPriority w:val="10"/>
    <w:rPr>
      <w:sz w:val="48"/>
      <w:szCs w:val="48"/>
    </w:rPr>
  </w:style>
  <w:style w:type="paragraph" w:styleId="726">
    <w:name w:val="Subtitle"/>
    <w:basedOn w:val="701"/>
    <w:next w:val="701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1"/>
    <w:link w:val="726"/>
    <w:uiPriority w:val="11"/>
    <w:rPr>
      <w:sz w:val="24"/>
      <w:szCs w:val="24"/>
    </w:rPr>
  </w:style>
  <w:style w:type="paragraph" w:styleId="728">
    <w:name w:val="Quote"/>
    <w:basedOn w:val="701"/>
    <w:next w:val="701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1"/>
    <w:next w:val="701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1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 w:customStyle="1">
    <w:name w:val="Верхний колонтитул Знак"/>
    <w:basedOn w:val="711"/>
    <w:link w:val="732"/>
    <w:uiPriority w:val="99"/>
  </w:style>
  <w:style w:type="paragraph" w:styleId="734">
    <w:name w:val="Footer"/>
    <w:basedOn w:val="701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 w:customStyle="1">
    <w:name w:val="Footer Char"/>
    <w:basedOn w:val="711"/>
    <w:uiPriority w:val="99"/>
  </w:style>
  <w:style w:type="paragraph" w:styleId="736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7" w:customStyle="1">
    <w:name w:val="Нижний колонтитул Знак"/>
    <w:link w:val="734"/>
    <w:uiPriority w:val="99"/>
  </w:style>
  <w:style w:type="table" w:styleId="738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 w:customStyle="1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701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1"/>
    <w:uiPriority w:val="99"/>
    <w:unhideWhenUsed/>
    <w:rPr>
      <w:vertAlign w:val="superscript"/>
    </w:rPr>
  </w:style>
  <w:style w:type="paragraph" w:styleId="868">
    <w:name w:val="endnote text"/>
    <w:basedOn w:val="701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1"/>
    <w:uiPriority w:val="99"/>
    <w:semiHidden/>
    <w:unhideWhenUsed/>
    <w:rPr>
      <w:vertAlign w:val="superscript"/>
    </w:rPr>
  </w:style>
  <w:style w:type="paragraph" w:styleId="871">
    <w:name w:val="toc 1"/>
    <w:basedOn w:val="701"/>
    <w:next w:val="701"/>
    <w:uiPriority w:val="39"/>
    <w:unhideWhenUsed/>
    <w:pPr>
      <w:spacing w:after="57"/>
    </w:pPr>
  </w:style>
  <w:style w:type="paragraph" w:styleId="87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1"/>
    <w:next w:val="701"/>
    <w:uiPriority w:val="99"/>
    <w:unhideWhenUsed/>
    <w:pPr>
      <w:spacing w:after="0"/>
    </w:pPr>
  </w:style>
  <w:style w:type="paragraph" w:styleId="882">
    <w:name w:val="List Paragraph"/>
    <w:basedOn w:val="701"/>
    <w:uiPriority w:val="34"/>
    <w:qFormat/>
    <w:pPr>
      <w:contextualSpacing/>
      <w:ind w:left="720"/>
    </w:pPr>
  </w:style>
  <w:style w:type="paragraph" w:styleId="883">
    <w:name w:val="Balloon Text"/>
    <w:basedOn w:val="701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1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86">
    <w:name w:val="annotation text"/>
    <w:basedOn w:val="701"/>
    <w:link w:val="8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7" w:customStyle="1">
    <w:name w:val="Текст примечания Знак"/>
    <w:basedOn w:val="711"/>
    <w:link w:val="886"/>
    <w:uiPriority w:val="99"/>
    <w:semiHidden/>
    <w:rPr>
      <w:sz w:val="20"/>
      <w:szCs w:val="20"/>
    </w:rPr>
  </w:style>
  <w:style w:type="character" w:styleId="888">
    <w:name w:val="annotation reference"/>
    <w:basedOn w:val="71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beloblgaz.ru" TargetMode="External"/><Relationship Id="rId1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8/08/relationships/commentsExtensible" Target="commentsExtensible.xml" /><Relationship Id="rId15" Type="http://schemas.microsoft.com/office/2016/09/relationships/commentsIds" Target="commentsIds.xml" /><Relationship Id="rId1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C6F0-5461-4968-BFDD-E194A62A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Вера Алексеевна</dc:creator>
  <cp:lastModifiedBy>id10192</cp:lastModifiedBy>
  <cp:revision>9</cp:revision>
  <dcterms:created xsi:type="dcterms:W3CDTF">2023-08-03T10:17:00Z</dcterms:created>
  <dcterms:modified xsi:type="dcterms:W3CDTF">2025-03-20T12:21:12Z</dcterms:modified>
</cp:coreProperties>
</file>