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86" w:rsidRDefault="005A1E8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A1E86" w:rsidRDefault="005A1E86">
      <w:pPr>
        <w:pStyle w:val="ConsPlusNormal"/>
        <w:jc w:val="both"/>
        <w:outlineLvl w:val="0"/>
      </w:pPr>
    </w:p>
    <w:p w:rsidR="005A1E86" w:rsidRDefault="005A1E86">
      <w:pPr>
        <w:pStyle w:val="ConsPlusTitle"/>
        <w:jc w:val="center"/>
        <w:outlineLvl w:val="0"/>
      </w:pPr>
      <w:r>
        <w:t>РЕГИОНАЛЬНАЯ СЛУЖБА ПО ТАРИФАМ ПЕРМСКОГО КРАЯ</w:t>
      </w:r>
    </w:p>
    <w:p w:rsidR="005A1E86" w:rsidRDefault="005A1E86">
      <w:pPr>
        <w:pStyle w:val="ConsPlusTitle"/>
        <w:jc w:val="center"/>
      </w:pPr>
    </w:p>
    <w:p w:rsidR="005A1E86" w:rsidRDefault="005A1E86">
      <w:pPr>
        <w:pStyle w:val="ConsPlusTitle"/>
        <w:jc w:val="center"/>
      </w:pPr>
      <w:r>
        <w:t>ПОСТАНОВЛЕНИЕ</w:t>
      </w:r>
    </w:p>
    <w:p w:rsidR="005A1E86" w:rsidRDefault="005A1E86">
      <w:pPr>
        <w:pStyle w:val="ConsPlusTitle"/>
        <w:jc w:val="center"/>
      </w:pPr>
      <w:r>
        <w:t>от 28 декабря 2016 г. N 138-тп</w:t>
      </w:r>
    </w:p>
    <w:p w:rsidR="005A1E86" w:rsidRDefault="005A1E86">
      <w:pPr>
        <w:pStyle w:val="ConsPlusTitle"/>
        <w:jc w:val="center"/>
      </w:pPr>
    </w:p>
    <w:p w:rsidR="005A1E86" w:rsidRDefault="005A1E86">
      <w:pPr>
        <w:pStyle w:val="ConsPlusTitle"/>
        <w:jc w:val="center"/>
      </w:pPr>
      <w:r>
        <w:t>ОБ УСТАНОВЛЕНИИ СТАНДАРТИЗИРОВАННЫХ ТАРИФНЫХ СТАВОК</w:t>
      </w:r>
    </w:p>
    <w:p w:rsidR="005A1E86" w:rsidRDefault="005A1E86">
      <w:pPr>
        <w:pStyle w:val="ConsPlusTitle"/>
        <w:jc w:val="center"/>
      </w:pPr>
      <w:r>
        <w:t>ДЛЯ РАСЧЕТА РАЗМЕРА ПЛАТЫ ЗА ТЕХНОЛОГИЧЕСКОЕ ПРИСОЕДИНЕНИЕ</w:t>
      </w:r>
    </w:p>
    <w:p w:rsidR="005A1E86" w:rsidRDefault="005A1E86">
      <w:pPr>
        <w:pStyle w:val="ConsPlusTitle"/>
        <w:jc w:val="center"/>
      </w:pPr>
      <w:r>
        <w:t>К СЕТЯМ ГАЗОРАСПРЕДЕЛЕНИЯ АКЦИОНЕРНОГО ОБЩЕСТВА "ГАЗПРОМ</w:t>
      </w:r>
    </w:p>
    <w:p w:rsidR="005A1E86" w:rsidRDefault="005A1E86">
      <w:pPr>
        <w:pStyle w:val="ConsPlusTitle"/>
        <w:jc w:val="center"/>
      </w:pPr>
      <w:r>
        <w:t>ГАЗОРАСПРЕДЕЛЕНИЕ ПЕРМЬ" НА 2017 ГОД</w:t>
      </w:r>
    </w:p>
    <w:p w:rsidR="005A1E86" w:rsidRDefault="005A1E86">
      <w:pPr>
        <w:pStyle w:val="ConsPlusNormal"/>
        <w:jc w:val="both"/>
      </w:pPr>
    </w:p>
    <w:p w:rsidR="005A1E86" w:rsidRDefault="005A1E86">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31 марта 1999 г. N 69-ФЗ "О газоснабжении в Российской Федерации", </w:t>
      </w:r>
      <w:hyperlink r:id="rId7" w:history="1">
        <w:r>
          <w:rPr>
            <w:color w:val="0000FF"/>
          </w:rPr>
          <w:t>Постановлением</w:t>
        </w:r>
      </w:hyperlink>
      <w:r>
        <w:t xml:space="preserve">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w:t>
      </w:r>
      <w:hyperlink r:id="rId8" w:history="1">
        <w:r>
          <w:rPr>
            <w:color w:val="0000FF"/>
          </w:rPr>
          <w:t>Постановлением</w:t>
        </w:r>
      </w:hyperlink>
      <w:r>
        <w:t xml:space="preserve"> Правительства Российской Федерации от 30</w:t>
      </w:r>
      <w:proofErr w:type="gramEnd"/>
      <w:r>
        <w:t xml:space="preserve"> </w:t>
      </w:r>
      <w:proofErr w:type="gramStart"/>
      <w:r>
        <w:t xml:space="preserve">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w:t>
      </w:r>
      <w:hyperlink r:id="rId9" w:history="1">
        <w:r>
          <w:rPr>
            <w:color w:val="0000FF"/>
          </w:rPr>
          <w:t>Приказом</w:t>
        </w:r>
      </w:hyperlink>
      <w:r>
        <w:t xml:space="preserve"> Федеральной службы по тарифам от 28 апреля 2014 года N 101-э/3 "Об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w:t>
      </w:r>
      <w:proofErr w:type="gramEnd"/>
      <w:r>
        <w:t xml:space="preserve"> (или) стандартизированных ставок, определяющих ее величину", </w:t>
      </w:r>
      <w:hyperlink r:id="rId10" w:history="1">
        <w:r>
          <w:rPr>
            <w:color w:val="0000FF"/>
          </w:rPr>
          <w:t>Постановлением</w:t>
        </w:r>
      </w:hyperlink>
      <w:r>
        <w:t xml:space="preserve"> Правительства Пермского края от 5 августа 2013 г. N 1057-п "Об утверждении Положения о Региональной службе по тарифам Пермского края" Региональная служба по тарифам Пермского края постановляет:</w:t>
      </w:r>
    </w:p>
    <w:p w:rsidR="005A1E86" w:rsidRDefault="005A1E86">
      <w:pPr>
        <w:pStyle w:val="ConsPlusNormal"/>
        <w:jc w:val="both"/>
      </w:pPr>
    </w:p>
    <w:p w:rsidR="005A1E86" w:rsidRDefault="005A1E86">
      <w:pPr>
        <w:pStyle w:val="ConsPlusNormal"/>
        <w:ind w:firstLine="540"/>
        <w:jc w:val="both"/>
      </w:pPr>
      <w:bookmarkStart w:id="0" w:name="P13"/>
      <w:bookmarkEnd w:id="0"/>
      <w:r>
        <w:t xml:space="preserve">1. </w:t>
      </w:r>
      <w:proofErr w:type="gramStart"/>
      <w:r>
        <w:t>Установить и ввести в действие с 1 января 2017 года по 31 декабря 2017 года стандартизированные тарифные ставки для расчета размера платы за технологическое присоединение для случаев технологического присоединения газоиспользующего оборудования к сетям газораспределения акционерного общества "Газпром газораспределение Пермь" или существующим сетям газораспределения, принадлежащим на праве собственности или на ином законном основании лицу, которое не оказывает услуги по транспортировке газа</w:t>
      </w:r>
      <w:proofErr w:type="gramEnd"/>
      <w:r>
        <w:t xml:space="preserve">, </w:t>
      </w:r>
      <w:proofErr w:type="gramStart"/>
      <w:r>
        <w:t xml:space="preserve">и присоединенным к сетям газораспределения акционерного общества "Газпром газораспределение Пермь", с максимальным расходом газа 500 куб. метров в час и менее и (или) проектным рабочим давлением в присоединяемом газопроводе 0,6 МПа и менее согласно </w:t>
      </w:r>
      <w:hyperlink w:anchor="P32" w:history="1">
        <w:r>
          <w:rPr>
            <w:color w:val="0000FF"/>
          </w:rPr>
          <w:t>приложениям 1</w:t>
        </w:r>
      </w:hyperlink>
      <w:r>
        <w:t>-</w:t>
      </w:r>
      <w:hyperlink w:anchor="P292" w:history="1">
        <w:r>
          <w:rPr>
            <w:color w:val="0000FF"/>
          </w:rPr>
          <w:t>6</w:t>
        </w:r>
      </w:hyperlink>
      <w:r>
        <w:t xml:space="preserve">, за исключением случаев, предусмотренных </w:t>
      </w:r>
      <w:hyperlink r:id="rId11" w:history="1">
        <w:r>
          <w:rPr>
            <w:color w:val="0000FF"/>
          </w:rPr>
          <w:t>приложением N 1</w:t>
        </w:r>
      </w:hyperlink>
      <w:r>
        <w:t xml:space="preserve"> Постановления Региональной службы по тарифам Пермского края от 14 ноября 2016 г. N 60-тп.</w:t>
      </w:r>
      <w:proofErr w:type="gramEnd"/>
    </w:p>
    <w:p w:rsidR="005A1E86" w:rsidRDefault="005A1E86">
      <w:pPr>
        <w:pStyle w:val="ConsPlusNormal"/>
        <w:ind w:firstLine="540"/>
        <w:jc w:val="both"/>
      </w:pPr>
      <w:r>
        <w:t xml:space="preserve">2. Утвердить </w:t>
      </w:r>
      <w:hyperlink w:anchor="P359" w:history="1">
        <w:r>
          <w:rPr>
            <w:color w:val="0000FF"/>
          </w:rPr>
          <w:t>формулы</w:t>
        </w:r>
      </w:hyperlink>
      <w:r>
        <w:t xml:space="preserve"> для расчета платы за технологическое присоединение согласно приложению 7.</w:t>
      </w:r>
    </w:p>
    <w:p w:rsidR="005A1E86" w:rsidRDefault="005A1E86">
      <w:pPr>
        <w:pStyle w:val="ConsPlusNormal"/>
        <w:ind w:firstLine="540"/>
        <w:jc w:val="both"/>
      </w:pPr>
      <w:r>
        <w:t>3. Настоящее Постановление вступает в силу через 10 дней после дня его официального опубликования.</w:t>
      </w:r>
    </w:p>
    <w:p w:rsidR="005A1E86" w:rsidRDefault="005A1E86">
      <w:pPr>
        <w:pStyle w:val="ConsPlusNormal"/>
        <w:jc w:val="both"/>
      </w:pPr>
    </w:p>
    <w:p w:rsidR="005A1E86" w:rsidRDefault="005A1E86">
      <w:pPr>
        <w:pStyle w:val="ConsPlusNormal"/>
        <w:jc w:val="right"/>
      </w:pPr>
      <w:proofErr w:type="spellStart"/>
      <w:r>
        <w:t>И.о</w:t>
      </w:r>
      <w:proofErr w:type="spellEnd"/>
      <w:r>
        <w:t>. руководителя</w:t>
      </w:r>
    </w:p>
    <w:p w:rsidR="005A1E86" w:rsidRDefault="005A1E86">
      <w:pPr>
        <w:pStyle w:val="ConsPlusNormal"/>
        <w:jc w:val="right"/>
      </w:pPr>
      <w:r>
        <w:t>А.А.БЕСЕДИН</w:t>
      </w: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right"/>
        <w:outlineLvl w:val="0"/>
      </w:pPr>
      <w:r>
        <w:t>Приложение 1</w:t>
      </w:r>
    </w:p>
    <w:p w:rsidR="005A1E86" w:rsidRDefault="005A1E86">
      <w:pPr>
        <w:pStyle w:val="ConsPlusNormal"/>
        <w:jc w:val="right"/>
      </w:pPr>
      <w:r>
        <w:t>к Постановлению</w:t>
      </w:r>
    </w:p>
    <w:p w:rsidR="005A1E86" w:rsidRDefault="005A1E86">
      <w:pPr>
        <w:pStyle w:val="ConsPlusNormal"/>
        <w:jc w:val="right"/>
      </w:pPr>
      <w:r>
        <w:t>РСТ Пермского края</w:t>
      </w:r>
    </w:p>
    <w:p w:rsidR="005A1E86" w:rsidRDefault="005A1E86">
      <w:pPr>
        <w:pStyle w:val="ConsPlusNormal"/>
        <w:jc w:val="right"/>
      </w:pPr>
      <w:r>
        <w:t>от 28.12.2016 N 138-тп</w:t>
      </w:r>
    </w:p>
    <w:p w:rsidR="005A1E86" w:rsidRDefault="005A1E86">
      <w:pPr>
        <w:pStyle w:val="ConsPlusNormal"/>
        <w:jc w:val="both"/>
      </w:pPr>
    </w:p>
    <w:p w:rsidR="005A1E86" w:rsidRDefault="005A1E86">
      <w:pPr>
        <w:pStyle w:val="ConsPlusNormal"/>
        <w:pBdr>
          <w:top w:val="single" w:sz="6" w:space="0" w:color="auto"/>
        </w:pBdr>
        <w:spacing w:before="100" w:after="100"/>
        <w:jc w:val="both"/>
        <w:rPr>
          <w:sz w:val="2"/>
          <w:szCs w:val="2"/>
        </w:rPr>
      </w:pPr>
    </w:p>
    <w:p w:rsidR="005A1E86" w:rsidRDefault="005A1E86">
      <w:pPr>
        <w:pStyle w:val="ConsPlusNormal"/>
        <w:ind w:firstLine="540"/>
        <w:jc w:val="both"/>
      </w:pPr>
      <w:r>
        <w:t xml:space="preserve">Стандартизированные тарифные ставки </w:t>
      </w:r>
      <w:hyperlink w:anchor="P13" w:history="1">
        <w:r>
          <w:rPr>
            <w:color w:val="0000FF"/>
          </w:rPr>
          <w:t>действуют</w:t>
        </w:r>
      </w:hyperlink>
      <w:r>
        <w:t xml:space="preserve"> с 1 января 2017 года по 31 декабря 2017 года.</w:t>
      </w:r>
    </w:p>
    <w:p w:rsidR="005A1E86" w:rsidRDefault="005A1E86">
      <w:pPr>
        <w:pStyle w:val="ConsPlusNormal"/>
        <w:pBdr>
          <w:top w:val="single" w:sz="6" w:space="0" w:color="auto"/>
        </w:pBdr>
        <w:spacing w:before="100" w:after="100"/>
        <w:jc w:val="both"/>
        <w:rPr>
          <w:sz w:val="2"/>
          <w:szCs w:val="2"/>
        </w:rPr>
      </w:pPr>
    </w:p>
    <w:p w:rsidR="005A1E86" w:rsidRDefault="005A1E86">
      <w:pPr>
        <w:pStyle w:val="ConsPlusTitle"/>
        <w:jc w:val="center"/>
      </w:pPr>
      <w:bookmarkStart w:id="1" w:name="P32"/>
      <w:bookmarkEnd w:id="1"/>
      <w:r>
        <w:t>СТАНДАРТИЗИРОВАННЫЕ ТАРИФНЫЕ СТАВКИ</w:t>
      </w:r>
    </w:p>
    <w:p w:rsidR="005A1E86" w:rsidRDefault="005A1E86">
      <w:pPr>
        <w:pStyle w:val="ConsPlusTitle"/>
        <w:jc w:val="center"/>
      </w:pPr>
      <w:r>
        <w:t>НА ПОКРЫТИЕ РАСХОДОВ АКЦИОНЕРНОГО ОБЩЕСТВА "ГАЗПРОМ</w:t>
      </w:r>
    </w:p>
    <w:p w:rsidR="005A1E86" w:rsidRDefault="005A1E86">
      <w:pPr>
        <w:pStyle w:val="ConsPlusTitle"/>
        <w:jc w:val="center"/>
      </w:pPr>
      <w:r>
        <w:t xml:space="preserve">ГАЗОРАСПРЕДЕЛЕНИЕ ПЕРМЬ", </w:t>
      </w:r>
      <w:proofErr w:type="gramStart"/>
      <w:r>
        <w:t>СВЯЗАННЫХ</w:t>
      </w:r>
      <w:proofErr w:type="gramEnd"/>
      <w:r>
        <w:t xml:space="preserve"> С РАЗРАБОТКОЙ ПРОЕКТНОЙ</w:t>
      </w:r>
    </w:p>
    <w:p w:rsidR="005A1E86" w:rsidRDefault="005A1E86">
      <w:pPr>
        <w:pStyle w:val="ConsPlusTitle"/>
        <w:jc w:val="center"/>
      </w:pPr>
      <w:r>
        <w:lastRenderedPageBreak/>
        <w:t>ДОКУМЕНТАЦИИ (БЕЗ УЧЕТА НДС)</w:t>
      </w:r>
    </w:p>
    <w:p w:rsidR="005A1E86" w:rsidRDefault="005A1E86">
      <w:pPr>
        <w:pStyle w:val="ConsPlusNormal"/>
        <w:jc w:val="both"/>
      </w:pPr>
    </w:p>
    <w:p w:rsidR="005A1E86" w:rsidRDefault="005A1E86">
      <w:pPr>
        <w:pStyle w:val="ConsPlusNormal"/>
        <w:pBdr>
          <w:top w:val="single" w:sz="6" w:space="0" w:color="auto"/>
        </w:pBdr>
        <w:spacing w:before="100" w:after="100"/>
        <w:jc w:val="both"/>
        <w:rPr>
          <w:sz w:val="2"/>
          <w:szCs w:val="2"/>
        </w:rPr>
      </w:pPr>
    </w:p>
    <w:p w:rsidR="005A1E86" w:rsidRDefault="005A1E86">
      <w:pPr>
        <w:pStyle w:val="ConsPlusNormal"/>
        <w:ind w:firstLine="540"/>
        <w:jc w:val="both"/>
      </w:pPr>
      <w:proofErr w:type="spellStart"/>
      <w:r>
        <w:rPr>
          <w:color w:val="0A2666"/>
        </w:rPr>
        <w:t>КонсультантПлюс</w:t>
      </w:r>
      <w:proofErr w:type="spellEnd"/>
      <w:r>
        <w:rPr>
          <w:color w:val="0A2666"/>
        </w:rPr>
        <w:t>: примечание.</w:t>
      </w:r>
    </w:p>
    <w:p w:rsidR="005A1E86" w:rsidRDefault="005A1E86">
      <w:pPr>
        <w:pStyle w:val="ConsPlusNormal"/>
        <w:ind w:firstLine="540"/>
        <w:jc w:val="both"/>
      </w:pPr>
      <w:r>
        <w:rPr>
          <w:color w:val="0A2666"/>
        </w:rPr>
        <w:t>Нумерация граф в таблице дана в соответствии с официальным текстом документа.</w:t>
      </w:r>
    </w:p>
    <w:p w:rsidR="005A1E86" w:rsidRDefault="005A1E86">
      <w:pPr>
        <w:pStyle w:val="ConsPlusNormal"/>
        <w:pBdr>
          <w:top w:val="single" w:sz="6" w:space="0" w:color="auto"/>
        </w:pBdr>
        <w:spacing w:before="100" w:after="10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721"/>
        <w:gridCol w:w="2693"/>
        <w:gridCol w:w="2835"/>
      </w:tblGrid>
      <w:tr w:rsidR="005A1E86">
        <w:tc>
          <w:tcPr>
            <w:tcW w:w="534" w:type="dxa"/>
          </w:tcPr>
          <w:p w:rsidR="005A1E86" w:rsidRDefault="005A1E86">
            <w:pPr>
              <w:pStyle w:val="ConsPlusNormal"/>
              <w:jc w:val="center"/>
            </w:pPr>
            <w:r>
              <w:t>N</w:t>
            </w:r>
          </w:p>
        </w:tc>
        <w:tc>
          <w:tcPr>
            <w:tcW w:w="2721" w:type="dxa"/>
          </w:tcPr>
          <w:p w:rsidR="005A1E86" w:rsidRDefault="005A1E86">
            <w:pPr>
              <w:pStyle w:val="ConsPlusNormal"/>
              <w:jc w:val="center"/>
            </w:pPr>
            <w:r>
              <w:t>Показатели</w:t>
            </w:r>
          </w:p>
        </w:tc>
        <w:tc>
          <w:tcPr>
            <w:tcW w:w="2693" w:type="dxa"/>
          </w:tcPr>
          <w:p w:rsidR="005A1E86" w:rsidRDefault="005A1E86">
            <w:pPr>
              <w:pStyle w:val="ConsPlusNormal"/>
              <w:jc w:val="center"/>
            </w:pPr>
            <w:r>
              <w:t>Для случаев, когда протяженность строящейся (реконструируемой) сети газораспределения составляет 150 метров и менее (С</w:t>
            </w:r>
            <w:proofErr w:type="gramStart"/>
            <w:r>
              <w:t>2</w:t>
            </w:r>
            <w:proofErr w:type="gramEnd"/>
            <w:r>
              <w:t>)</w:t>
            </w:r>
          </w:p>
        </w:tc>
        <w:tc>
          <w:tcPr>
            <w:tcW w:w="2835" w:type="dxa"/>
          </w:tcPr>
          <w:p w:rsidR="005A1E86" w:rsidRDefault="005A1E86">
            <w:pPr>
              <w:pStyle w:val="ConsPlusNormal"/>
              <w:jc w:val="center"/>
            </w:pPr>
            <w:r>
              <w:t>Для случаев, когда протяженность строящейся (реконструируемой) сети газораспределения составляет более 150 метров (С</w:t>
            </w:r>
            <w:proofErr w:type="gramStart"/>
            <w:r>
              <w:t>1</w:t>
            </w:r>
            <w:proofErr w:type="gramEnd"/>
            <w:r>
              <w:t>)</w:t>
            </w:r>
          </w:p>
        </w:tc>
      </w:tr>
      <w:tr w:rsidR="005A1E86">
        <w:tc>
          <w:tcPr>
            <w:tcW w:w="534" w:type="dxa"/>
          </w:tcPr>
          <w:p w:rsidR="005A1E86" w:rsidRDefault="005A1E86">
            <w:pPr>
              <w:pStyle w:val="ConsPlusNormal"/>
              <w:jc w:val="center"/>
            </w:pPr>
            <w:r>
              <w:t>1</w:t>
            </w:r>
          </w:p>
        </w:tc>
        <w:tc>
          <w:tcPr>
            <w:tcW w:w="2721" w:type="dxa"/>
          </w:tcPr>
          <w:p w:rsidR="005A1E86" w:rsidRDefault="005A1E86">
            <w:pPr>
              <w:pStyle w:val="ConsPlusNormal"/>
              <w:jc w:val="center"/>
            </w:pPr>
            <w:r>
              <w:t>2</w:t>
            </w:r>
          </w:p>
        </w:tc>
        <w:tc>
          <w:tcPr>
            <w:tcW w:w="2693" w:type="dxa"/>
          </w:tcPr>
          <w:p w:rsidR="005A1E86" w:rsidRDefault="005A1E86">
            <w:pPr>
              <w:pStyle w:val="ConsPlusNormal"/>
              <w:jc w:val="center"/>
            </w:pPr>
            <w:r>
              <w:t>4</w:t>
            </w:r>
          </w:p>
        </w:tc>
        <w:tc>
          <w:tcPr>
            <w:tcW w:w="2835" w:type="dxa"/>
          </w:tcPr>
          <w:p w:rsidR="005A1E86" w:rsidRDefault="005A1E86">
            <w:pPr>
              <w:pStyle w:val="ConsPlusNormal"/>
              <w:jc w:val="center"/>
            </w:pPr>
            <w:r>
              <w:t>5</w:t>
            </w:r>
          </w:p>
        </w:tc>
      </w:tr>
      <w:tr w:rsidR="005A1E86">
        <w:tc>
          <w:tcPr>
            <w:tcW w:w="534" w:type="dxa"/>
          </w:tcPr>
          <w:p w:rsidR="005A1E86" w:rsidRDefault="005A1E86">
            <w:pPr>
              <w:pStyle w:val="ConsPlusNormal"/>
              <w:jc w:val="center"/>
            </w:pPr>
            <w:r>
              <w:t>1</w:t>
            </w:r>
          </w:p>
        </w:tc>
        <w:tc>
          <w:tcPr>
            <w:tcW w:w="2721" w:type="dxa"/>
          </w:tcPr>
          <w:p w:rsidR="005A1E86" w:rsidRDefault="005A1E86">
            <w:pPr>
              <w:pStyle w:val="ConsPlusNormal"/>
            </w:pPr>
            <w:r>
              <w:t>Стандартизированная тарифная ставка, руб./м3 в час (руб./ед.)</w:t>
            </w:r>
          </w:p>
        </w:tc>
        <w:tc>
          <w:tcPr>
            <w:tcW w:w="2693" w:type="dxa"/>
          </w:tcPr>
          <w:p w:rsidR="005A1E86" w:rsidRDefault="005A1E86">
            <w:pPr>
              <w:pStyle w:val="ConsPlusNormal"/>
              <w:jc w:val="center"/>
            </w:pPr>
            <w:r>
              <w:t>1742,37</w:t>
            </w:r>
          </w:p>
        </w:tc>
        <w:tc>
          <w:tcPr>
            <w:tcW w:w="2835" w:type="dxa"/>
          </w:tcPr>
          <w:p w:rsidR="005A1E86" w:rsidRDefault="005A1E86">
            <w:pPr>
              <w:pStyle w:val="ConsPlusNormal"/>
              <w:jc w:val="center"/>
            </w:pPr>
            <w:r>
              <w:t>151608,70</w:t>
            </w:r>
          </w:p>
        </w:tc>
      </w:tr>
    </w:tbl>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right"/>
        <w:outlineLvl w:val="0"/>
      </w:pPr>
      <w:r>
        <w:t>Приложение 2</w:t>
      </w:r>
    </w:p>
    <w:p w:rsidR="005A1E86" w:rsidRDefault="005A1E86">
      <w:pPr>
        <w:pStyle w:val="ConsPlusNormal"/>
        <w:jc w:val="right"/>
      </w:pPr>
      <w:r>
        <w:t>к Постановлению</w:t>
      </w:r>
    </w:p>
    <w:p w:rsidR="005A1E86" w:rsidRDefault="005A1E86">
      <w:pPr>
        <w:pStyle w:val="ConsPlusNormal"/>
        <w:jc w:val="right"/>
      </w:pPr>
      <w:r>
        <w:t>РСТ Пермского края</w:t>
      </w:r>
    </w:p>
    <w:p w:rsidR="005A1E86" w:rsidRDefault="005A1E86">
      <w:pPr>
        <w:pStyle w:val="ConsPlusNormal"/>
        <w:jc w:val="right"/>
      </w:pPr>
      <w:r>
        <w:t>от 28.12.2016 N 138-тп</w:t>
      </w:r>
    </w:p>
    <w:p w:rsidR="005A1E86" w:rsidRDefault="005A1E86">
      <w:pPr>
        <w:pStyle w:val="ConsPlusNormal"/>
        <w:jc w:val="both"/>
      </w:pPr>
    </w:p>
    <w:p w:rsidR="005A1E86" w:rsidRDefault="005A1E86">
      <w:pPr>
        <w:pStyle w:val="ConsPlusNormal"/>
        <w:pBdr>
          <w:top w:val="single" w:sz="6" w:space="0" w:color="auto"/>
        </w:pBdr>
        <w:spacing w:before="100" w:after="100"/>
        <w:jc w:val="both"/>
        <w:rPr>
          <w:sz w:val="2"/>
          <w:szCs w:val="2"/>
        </w:rPr>
      </w:pPr>
    </w:p>
    <w:p w:rsidR="005A1E86" w:rsidRDefault="005A1E86">
      <w:pPr>
        <w:pStyle w:val="ConsPlusNormal"/>
        <w:ind w:firstLine="540"/>
        <w:jc w:val="both"/>
      </w:pPr>
      <w:r>
        <w:t xml:space="preserve">Стандартизированные тарифные ставки </w:t>
      </w:r>
      <w:hyperlink w:anchor="P13" w:history="1">
        <w:r>
          <w:rPr>
            <w:color w:val="0000FF"/>
          </w:rPr>
          <w:t>действуют</w:t>
        </w:r>
      </w:hyperlink>
      <w:r>
        <w:t xml:space="preserve"> с 1 января 2017 года по 31 декабря 2017 года.</w:t>
      </w:r>
    </w:p>
    <w:p w:rsidR="005A1E86" w:rsidRDefault="005A1E86">
      <w:pPr>
        <w:pStyle w:val="ConsPlusNormal"/>
        <w:pBdr>
          <w:top w:val="single" w:sz="6" w:space="0" w:color="auto"/>
        </w:pBdr>
        <w:spacing w:before="100" w:after="100"/>
        <w:jc w:val="both"/>
        <w:rPr>
          <w:sz w:val="2"/>
          <w:szCs w:val="2"/>
        </w:rPr>
      </w:pPr>
    </w:p>
    <w:p w:rsidR="005A1E86" w:rsidRDefault="005A1E86">
      <w:pPr>
        <w:pStyle w:val="ConsPlusTitle"/>
        <w:jc w:val="center"/>
      </w:pPr>
      <w:r>
        <w:t>СТАНДАРТИЗИРОВАННЫЕ ТАРИФНЫЕ СТАВКИ</w:t>
      </w:r>
    </w:p>
    <w:p w:rsidR="005A1E86" w:rsidRDefault="005A1E86">
      <w:pPr>
        <w:pStyle w:val="ConsPlusTitle"/>
        <w:jc w:val="center"/>
      </w:pPr>
      <w:r>
        <w:t>НА ПОКРЫТИЕ РАСХОДОВ АКЦИОНЕРНОГО ОБЩЕСТВА "ГАЗПРОМ</w:t>
      </w:r>
    </w:p>
    <w:p w:rsidR="005A1E86" w:rsidRDefault="005A1E86">
      <w:pPr>
        <w:pStyle w:val="ConsPlusTitle"/>
        <w:jc w:val="center"/>
      </w:pPr>
      <w:r>
        <w:t xml:space="preserve">ГАЗОРАСПРЕДЕЛЕНИЕ ПЕРМЬ", </w:t>
      </w:r>
      <w:proofErr w:type="gramStart"/>
      <w:r>
        <w:t>СВЯЗАННЫХ</w:t>
      </w:r>
      <w:proofErr w:type="gramEnd"/>
      <w:r>
        <w:t xml:space="preserve"> СО СТРОИТЕЛЬСТВОМ</w:t>
      </w:r>
    </w:p>
    <w:p w:rsidR="005A1E86" w:rsidRDefault="005A1E86">
      <w:pPr>
        <w:pStyle w:val="ConsPlusTitle"/>
        <w:jc w:val="center"/>
      </w:pPr>
      <w:r>
        <w:t>(РЕКОНСТРУКЦИЕЙ) ГАЗОПРОВОДОВ, ДЛЯ СЛУЧАЕВ, КОГДА</w:t>
      </w:r>
    </w:p>
    <w:p w:rsidR="005A1E86" w:rsidRDefault="005A1E86">
      <w:pPr>
        <w:pStyle w:val="ConsPlusTitle"/>
        <w:jc w:val="center"/>
      </w:pPr>
      <w:r>
        <w:t>ПРОТЯЖЕННОСТЬ СТРОЯЩЕЙСЯ (РЕКОНСТРУИРУЕМОЙ) СЕТИ</w:t>
      </w:r>
    </w:p>
    <w:p w:rsidR="005A1E86" w:rsidRDefault="005A1E86">
      <w:pPr>
        <w:pStyle w:val="ConsPlusTitle"/>
        <w:jc w:val="center"/>
      </w:pPr>
      <w:r>
        <w:t xml:space="preserve">ГАЗОРАСПРЕДЕЛЕНИЯ, </w:t>
      </w:r>
      <w:proofErr w:type="gramStart"/>
      <w:r>
        <w:t>ИЗМЕРЯЕМАЯ</w:t>
      </w:r>
      <w:proofErr w:type="gramEnd"/>
      <w:r>
        <w:t xml:space="preserve"> ПО ПРЯМОЙ ЛИНИИ ОТ ГРАНИЦЫ</w:t>
      </w:r>
    </w:p>
    <w:p w:rsidR="005A1E86" w:rsidRDefault="005A1E86">
      <w:pPr>
        <w:pStyle w:val="ConsPlusTitle"/>
        <w:jc w:val="center"/>
      </w:pPr>
      <w:r>
        <w:t>ЗЕМЕЛЬНОГО УЧАСТКА ДО СЕТИ ГАЗОРАСПРЕДЕЛЕНИЯ ГРО, СОСТАВЛЯЕТ</w:t>
      </w:r>
    </w:p>
    <w:p w:rsidR="005A1E86" w:rsidRDefault="005A1E86">
      <w:pPr>
        <w:pStyle w:val="ConsPlusTitle"/>
        <w:jc w:val="center"/>
      </w:pPr>
      <w:r>
        <w:t xml:space="preserve">БОЛЕЕ 150 МЕТРОВ </w:t>
      </w:r>
      <w:hyperlink w:anchor="P76" w:history="1">
        <w:r>
          <w:rPr>
            <w:color w:val="0000FF"/>
          </w:rPr>
          <w:t>&lt;*&gt;</w:t>
        </w:r>
      </w:hyperlink>
    </w:p>
    <w:p w:rsidR="005A1E86" w:rsidRDefault="005A1E86">
      <w:pPr>
        <w:pStyle w:val="ConsPlusNormal"/>
        <w:jc w:val="both"/>
      </w:pPr>
    </w:p>
    <w:p w:rsidR="005A1E86" w:rsidRDefault="005A1E86">
      <w:pPr>
        <w:pStyle w:val="ConsPlusNormal"/>
        <w:ind w:firstLine="540"/>
        <w:jc w:val="both"/>
      </w:pPr>
      <w:r>
        <w:t>--------------------------------</w:t>
      </w:r>
    </w:p>
    <w:p w:rsidR="005A1E86" w:rsidRDefault="005A1E86">
      <w:pPr>
        <w:pStyle w:val="ConsPlusNormal"/>
        <w:ind w:firstLine="540"/>
        <w:jc w:val="both"/>
      </w:pPr>
      <w:bookmarkStart w:id="2" w:name="P76"/>
      <w:bookmarkEnd w:id="2"/>
      <w:r>
        <w:t>&lt;*&gt; Стандартизированные тарифные ставки установлены в ценах 2001 года.</w:t>
      </w:r>
    </w:p>
    <w:p w:rsidR="005A1E86" w:rsidRDefault="005A1E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
        <w:gridCol w:w="2154"/>
        <w:gridCol w:w="4422"/>
      </w:tblGrid>
      <w:tr w:rsidR="005A1E86">
        <w:tc>
          <w:tcPr>
            <w:tcW w:w="776" w:type="dxa"/>
          </w:tcPr>
          <w:p w:rsidR="005A1E86" w:rsidRDefault="005A1E86">
            <w:pPr>
              <w:pStyle w:val="ConsPlusNormal"/>
              <w:jc w:val="center"/>
            </w:pPr>
            <w:r>
              <w:t>1</w:t>
            </w:r>
          </w:p>
        </w:tc>
        <w:tc>
          <w:tcPr>
            <w:tcW w:w="2154" w:type="dxa"/>
          </w:tcPr>
          <w:p w:rsidR="005A1E86" w:rsidRDefault="005A1E86">
            <w:pPr>
              <w:pStyle w:val="ConsPlusNormal"/>
              <w:jc w:val="center"/>
            </w:pPr>
            <w:r>
              <w:t>2</w:t>
            </w:r>
          </w:p>
        </w:tc>
        <w:tc>
          <w:tcPr>
            <w:tcW w:w="4422" w:type="dxa"/>
          </w:tcPr>
          <w:p w:rsidR="005A1E86" w:rsidRDefault="005A1E86">
            <w:pPr>
              <w:pStyle w:val="ConsPlusNormal"/>
              <w:jc w:val="center"/>
            </w:pPr>
            <w:r>
              <w:t>3</w:t>
            </w:r>
          </w:p>
        </w:tc>
      </w:tr>
      <w:tr w:rsidR="005A1E86">
        <w:tc>
          <w:tcPr>
            <w:tcW w:w="776" w:type="dxa"/>
          </w:tcPr>
          <w:p w:rsidR="005A1E86" w:rsidRDefault="005A1E86">
            <w:pPr>
              <w:pStyle w:val="ConsPlusNormal"/>
              <w:jc w:val="center"/>
            </w:pPr>
            <w:r>
              <w:t>N</w:t>
            </w:r>
          </w:p>
        </w:tc>
        <w:tc>
          <w:tcPr>
            <w:tcW w:w="2154" w:type="dxa"/>
          </w:tcPr>
          <w:p w:rsidR="005A1E86" w:rsidRDefault="005A1E86">
            <w:pPr>
              <w:pStyle w:val="ConsPlusNormal"/>
              <w:jc w:val="center"/>
            </w:pPr>
            <w:r>
              <w:t>Показатели</w:t>
            </w:r>
          </w:p>
        </w:tc>
        <w:tc>
          <w:tcPr>
            <w:tcW w:w="4422" w:type="dxa"/>
          </w:tcPr>
          <w:p w:rsidR="005A1E86" w:rsidRDefault="005A1E86">
            <w:pPr>
              <w:pStyle w:val="ConsPlusNormal"/>
              <w:jc w:val="center"/>
            </w:pPr>
            <w:r>
              <w:t>Стандартизированные тарифные ставки, тыс. руб./</w:t>
            </w:r>
            <w:proofErr w:type="gramStart"/>
            <w:r>
              <w:t>км</w:t>
            </w:r>
            <w:proofErr w:type="gramEnd"/>
            <w:r>
              <w:t xml:space="preserve"> (без учета НДС)</w:t>
            </w:r>
          </w:p>
        </w:tc>
      </w:tr>
      <w:tr w:rsidR="005A1E86">
        <w:tc>
          <w:tcPr>
            <w:tcW w:w="776" w:type="dxa"/>
          </w:tcPr>
          <w:p w:rsidR="005A1E86" w:rsidRDefault="005A1E86">
            <w:pPr>
              <w:pStyle w:val="ConsPlusNormal"/>
              <w:jc w:val="both"/>
            </w:pPr>
            <w:r>
              <w:t>1</w:t>
            </w:r>
          </w:p>
        </w:tc>
        <w:tc>
          <w:tcPr>
            <w:tcW w:w="6576" w:type="dxa"/>
            <w:gridSpan w:val="2"/>
          </w:tcPr>
          <w:p w:rsidR="005A1E86" w:rsidRDefault="005A1E86">
            <w:pPr>
              <w:pStyle w:val="ConsPlusNormal"/>
              <w:jc w:val="center"/>
            </w:pPr>
            <w:r>
              <w:t>Стальные газопроводы (С3)</w:t>
            </w:r>
          </w:p>
        </w:tc>
      </w:tr>
      <w:tr w:rsidR="005A1E86">
        <w:tc>
          <w:tcPr>
            <w:tcW w:w="776" w:type="dxa"/>
          </w:tcPr>
          <w:p w:rsidR="005A1E86" w:rsidRDefault="005A1E86">
            <w:pPr>
              <w:pStyle w:val="ConsPlusNormal"/>
              <w:jc w:val="both"/>
            </w:pPr>
            <w:r>
              <w:t>1.1</w:t>
            </w:r>
          </w:p>
        </w:tc>
        <w:tc>
          <w:tcPr>
            <w:tcW w:w="6576" w:type="dxa"/>
            <w:gridSpan w:val="2"/>
          </w:tcPr>
          <w:p w:rsidR="005A1E86" w:rsidRDefault="005A1E86">
            <w:pPr>
              <w:pStyle w:val="ConsPlusNormal"/>
              <w:jc w:val="both"/>
            </w:pPr>
            <w:r>
              <w:t>Наземная (надземная) прокладка</w:t>
            </w:r>
          </w:p>
        </w:tc>
      </w:tr>
      <w:tr w:rsidR="005A1E86">
        <w:tc>
          <w:tcPr>
            <w:tcW w:w="776" w:type="dxa"/>
          </w:tcPr>
          <w:p w:rsidR="005A1E86" w:rsidRDefault="005A1E86">
            <w:pPr>
              <w:pStyle w:val="ConsPlusNormal"/>
              <w:jc w:val="both"/>
            </w:pPr>
            <w:r>
              <w:t>1.1.1</w:t>
            </w:r>
          </w:p>
        </w:tc>
        <w:tc>
          <w:tcPr>
            <w:tcW w:w="2154" w:type="dxa"/>
          </w:tcPr>
          <w:p w:rsidR="005A1E86" w:rsidRDefault="005A1E86">
            <w:pPr>
              <w:pStyle w:val="ConsPlusNormal"/>
            </w:pPr>
            <w:r>
              <w:t>158 мм и менее</w:t>
            </w:r>
          </w:p>
        </w:tc>
        <w:tc>
          <w:tcPr>
            <w:tcW w:w="4422" w:type="dxa"/>
            <w:vAlign w:val="center"/>
          </w:tcPr>
          <w:p w:rsidR="005A1E86" w:rsidRDefault="005A1E86">
            <w:pPr>
              <w:pStyle w:val="ConsPlusNormal"/>
              <w:jc w:val="center"/>
            </w:pPr>
            <w:r>
              <w:t>235,81</w:t>
            </w:r>
          </w:p>
        </w:tc>
      </w:tr>
      <w:tr w:rsidR="005A1E86">
        <w:tc>
          <w:tcPr>
            <w:tcW w:w="776" w:type="dxa"/>
          </w:tcPr>
          <w:p w:rsidR="005A1E86" w:rsidRDefault="005A1E86">
            <w:pPr>
              <w:pStyle w:val="ConsPlusNormal"/>
              <w:jc w:val="both"/>
            </w:pPr>
            <w:r>
              <w:t>1.1.2</w:t>
            </w:r>
          </w:p>
        </w:tc>
        <w:tc>
          <w:tcPr>
            <w:tcW w:w="2154" w:type="dxa"/>
          </w:tcPr>
          <w:p w:rsidR="005A1E86" w:rsidRDefault="005A1E86">
            <w:pPr>
              <w:pStyle w:val="ConsPlusNormal"/>
            </w:pPr>
            <w:r>
              <w:t>159-218 мм</w:t>
            </w:r>
          </w:p>
        </w:tc>
        <w:tc>
          <w:tcPr>
            <w:tcW w:w="4422" w:type="dxa"/>
            <w:vAlign w:val="center"/>
          </w:tcPr>
          <w:p w:rsidR="005A1E86" w:rsidRDefault="005A1E86">
            <w:pPr>
              <w:pStyle w:val="ConsPlusNormal"/>
              <w:jc w:val="center"/>
            </w:pPr>
            <w:r>
              <w:t>312,77</w:t>
            </w:r>
          </w:p>
        </w:tc>
      </w:tr>
      <w:tr w:rsidR="005A1E86">
        <w:tc>
          <w:tcPr>
            <w:tcW w:w="776" w:type="dxa"/>
          </w:tcPr>
          <w:p w:rsidR="005A1E86" w:rsidRDefault="005A1E86">
            <w:pPr>
              <w:pStyle w:val="ConsPlusNormal"/>
              <w:jc w:val="both"/>
            </w:pPr>
            <w:r>
              <w:t>1.1.3</w:t>
            </w:r>
          </w:p>
        </w:tc>
        <w:tc>
          <w:tcPr>
            <w:tcW w:w="2154" w:type="dxa"/>
          </w:tcPr>
          <w:p w:rsidR="005A1E86" w:rsidRDefault="005A1E86">
            <w:pPr>
              <w:pStyle w:val="ConsPlusNormal"/>
            </w:pPr>
            <w:r>
              <w:t>219-272 мм</w:t>
            </w:r>
          </w:p>
        </w:tc>
        <w:tc>
          <w:tcPr>
            <w:tcW w:w="4422" w:type="dxa"/>
            <w:vAlign w:val="center"/>
          </w:tcPr>
          <w:p w:rsidR="005A1E86" w:rsidRDefault="005A1E86">
            <w:pPr>
              <w:pStyle w:val="ConsPlusNormal"/>
              <w:jc w:val="center"/>
            </w:pPr>
            <w:r>
              <w:t>383,45</w:t>
            </w:r>
          </w:p>
        </w:tc>
      </w:tr>
      <w:tr w:rsidR="005A1E86">
        <w:tc>
          <w:tcPr>
            <w:tcW w:w="776" w:type="dxa"/>
          </w:tcPr>
          <w:p w:rsidR="005A1E86" w:rsidRDefault="005A1E86">
            <w:pPr>
              <w:pStyle w:val="ConsPlusNormal"/>
              <w:jc w:val="both"/>
            </w:pPr>
            <w:r>
              <w:lastRenderedPageBreak/>
              <w:t>1.1.4</w:t>
            </w:r>
          </w:p>
        </w:tc>
        <w:tc>
          <w:tcPr>
            <w:tcW w:w="2154" w:type="dxa"/>
          </w:tcPr>
          <w:p w:rsidR="005A1E86" w:rsidRDefault="005A1E86">
            <w:pPr>
              <w:pStyle w:val="ConsPlusNormal"/>
            </w:pPr>
            <w:r>
              <w:t>273-324 мм</w:t>
            </w:r>
          </w:p>
        </w:tc>
        <w:tc>
          <w:tcPr>
            <w:tcW w:w="4422" w:type="dxa"/>
            <w:vAlign w:val="center"/>
          </w:tcPr>
          <w:p w:rsidR="005A1E86" w:rsidRDefault="005A1E86">
            <w:pPr>
              <w:pStyle w:val="ConsPlusNormal"/>
              <w:jc w:val="center"/>
            </w:pPr>
            <w:r>
              <w:t>429,61</w:t>
            </w:r>
          </w:p>
        </w:tc>
      </w:tr>
      <w:tr w:rsidR="005A1E86">
        <w:tc>
          <w:tcPr>
            <w:tcW w:w="776" w:type="dxa"/>
          </w:tcPr>
          <w:p w:rsidR="005A1E86" w:rsidRDefault="005A1E86">
            <w:pPr>
              <w:pStyle w:val="ConsPlusNormal"/>
              <w:jc w:val="both"/>
            </w:pPr>
            <w:r>
              <w:t>1.1.5</w:t>
            </w:r>
          </w:p>
        </w:tc>
        <w:tc>
          <w:tcPr>
            <w:tcW w:w="2154" w:type="dxa"/>
          </w:tcPr>
          <w:p w:rsidR="005A1E86" w:rsidRDefault="005A1E86">
            <w:pPr>
              <w:pStyle w:val="ConsPlusNormal"/>
            </w:pPr>
            <w:r>
              <w:t>325-425 мм</w:t>
            </w:r>
          </w:p>
        </w:tc>
        <w:tc>
          <w:tcPr>
            <w:tcW w:w="4422" w:type="dxa"/>
            <w:vAlign w:val="center"/>
          </w:tcPr>
          <w:p w:rsidR="005A1E86" w:rsidRDefault="005A1E86">
            <w:pPr>
              <w:pStyle w:val="ConsPlusNormal"/>
              <w:jc w:val="center"/>
            </w:pPr>
            <w:r>
              <w:t>1168,20</w:t>
            </w:r>
          </w:p>
        </w:tc>
      </w:tr>
      <w:tr w:rsidR="005A1E86">
        <w:tc>
          <w:tcPr>
            <w:tcW w:w="776" w:type="dxa"/>
          </w:tcPr>
          <w:p w:rsidR="005A1E86" w:rsidRDefault="005A1E86">
            <w:pPr>
              <w:pStyle w:val="ConsPlusNormal"/>
              <w:jc w:val="both"/>
            </w:pPr>
            <w:r>
              <w:t>1.1.6</w:t>
            </w:r>
          </w:p>
        </w:tc>
        <w:tc>
          <w:tcPr>
            <w:tcW w:w="2154" w:type="dxa"/>
          </w:tcPr>
          <w:p w:rsidR="005A1E86" w:rsidRDefault="005A1E86">
            <w:pPr>
              <w:pStyle w:val="ConsPlusNormal"/>
            </w:pPr>
            <w:r>
              <w:t>426-529 мм</w:t>
            </w:r>
          </w:p>
        </w:tc>
        <w:tc>
          <w:tcPr>
            <w:tcW w:w="4422" w:type="dxa"/>
            <w:vAlign w:val="center"/>
          </w:tcPr>
          <w:p w:rsidR="005A1E86" w:rsidRDefault="005A1E86">
            <w:pPr>
              <w:pStyle w:val="ConsPlusNormal"/>
              <w:jc w:val="center"/>
            </w:pPr>
            <w:r>
              <w:t>1945,84</w:t>
            </w:r>
          </w:p>
        </w:tc>
      </w:tr>
      <w:tr w:rsidR="005A1E86">
        <w:tc>
          <w:tcPr>
            <w:tcW w:w="776" w:type="dxa"/>
          </w:tcPr>
          <w:p w:rsidR="005A1E86" w:rsidRDefault="005A1E86">
            <w:pPr>
              <w:pStyle w:val="ConsPlusNormal"/>
              <w:jc w:val="both"/>
            </w:pPr>
            <w:r>
              <w:t>1.1.7</w:t>
            </w:r>
          </w:p>
        </w:tc>
        <w:tc>
          <w:tcPr>
            <w:tcW w:w="2154" w:type="dxa"/>
          </w:tcPr>
          <w:p w:rsidR="005A1E86" w:rsidRDefault="005A1E86">
            <w:pPr>
              <w:pStyle w:val="ConsPlusNormal"/>
            </w:pPr>
            <w:r>
              <w:t>530 мм и выше</w:t>
            </w:r>
          </w:p>
        </w:tc>
        <w:tc>
          <w:tcPr>
            <w:tcW w:w="4422" w:type="dxa"/>
            <w:vAlign w:val="center"/>
          </w:tcPr>
          <w:p w:rsidR="005A1E86" w:rsidRDefault="005A1E86">
            <w:pPr>
              <w:pStyle w:val="ConsPlusNormal"/>
              <w:jc w:val="center"/>
            </w:pPr>
            <w:r>
              <w:t>2782,59</w:t>
            </w:r>
          </w:p>
        </w:tc>
      </w:tr>
      <w:tr w:rsidR="005A1E86">
        <w:tc>
          <w:tcPr>
            <w:tcW w:w="776" w:type="dxa"/>
          </w:tcPr>
          <w:p w:rsidR="005A1E86" w:rsidRDefault="005A1E86">
            <w:pPr>
              <w:pStyle w:val="ConsPlusNormal"/>
              <w:jc w:val="both"/>
            </w:pPr>
            <w:r>
              <w:t>1.2</w:t>
            </w:r>
          </w:p>
        </w:tc>
        <w:tc>
          <w:tcPr>
            <w:tcW w:w="6576" w:type="dxa"/>
            <w:gridSpan w:val="2"/>
          </w:tcPr>
          <w:p w:rsidR="005A1E86" w:rsidRDefault="005A1E86">
            <w:pPr>
              <w:pStyle w:val="ConsPlusNormal"/>
              <w:jc w:val="both"/>
            </w:pPr>
            <w:r>
              <w:t>Подземная прокладка</w:t>
            </w:r>
          </w:p>
        </w:tc>
      </w:tr>
      <w:tr w:rsidR="005A1E86">
        <w:tc>
          <w:tcPr>
            <w:tcW w:w="776" w:type="dxa"/>
          </w:tcPr>
          <w:p w:rsidR="005A1E86" w:rsidRDefault="005A1E86">
            <w:pPr>
              <w:pStyle w:val="ConsPlusNormal"/>
              <w:jc w:val="both"/>
            </w:pPr>
            <w:r>
              <w:t>1.2.1</w:t>
            </w:r>
          </w:p>
        </w:tc>
        <w:tc>
          <w:tcPr>
            <w:tcW w:w="2154" w:type="dxa"/>
          </w:tcPr>
          <w:p w:rsidR="005A1E86" w:rsidRDefault="005A1E86">
            <w:pPr>
              <w:pStyle w:val="ConsPlusNormal"/>
            </w:pPr>
            <w:r>
              <w:t>158 мм и менее</w:t>
            </w:r>
          </w:p>
        </w:tc>
        <w:tc>
          <w:tcPr>
            <w:tcW w:w="4422" w:type="dxa"/>
            <w:vAlign w:val="center"/>
          </w:tcPr>
          <w:p w:rsidR="005A1E86" w:rsidRDefault="005A1E86">
            <w:pPr>
              <w:pStyle w:val="ConsPlusNormal"/>
              <w:jc w:val="center"/>
            </w:pPr>
            <w:r>
              <w:t>330,58</w:t>
            </w:r>
          </w:p>
        </w:tc>
      </w:tr>
      <w:tr w:rsidR="005A1E86">
        <w:tc>
          <w:tcPr>
            <w:tcW w:w="776" w:type="dxa"/>
          </w:tcPr>
          <w:p w:rsidR="005A1E86" w:rsidRDefault="005A1E86">
            <w:pPr>
              <w:pStyle w:val="ConsPlusNormal"/>
              <w:jc w:val="both"/>
            </w:pPr>
            <w:r>
              <w:t>1.2.2</w:t>
            </w:r>
          </w:p>
        </w:tc>
        <w:tc>
          <w:tcPr>
            <w:tcW w:w="2154" w:type="dxa"/>
          </w:tcPr>
          <w:p w:rsidR="005A1E86" w:rsidRDefault="005A1E86">
            <w:pPr>
              <w:pStyle w:val="ConsPlusNormal"/>
            </w:pPr>
            <w:r>
              <w:t>159-218 мм</w:t>
            </w:r>
          </w:p>
        </w:tc>
        <w:tc>
          <w:tcPr>
            <w:tcW w:w="4422" w:type="dxa"/>
            <w:vAlign w:val="center"/>
          </w:tcPr>
          <w:p w:rsidR="005A1E86" w:rsidRDefault="005A1E86">
            <w:pPr>
              <w:pStyle w:val="ConsPlusNormal"/>
              <w:jc w:val="center"/>
            </w:pPr>
            <w:r>
              <w:t>419,03</w:t>
            </w:r>
          </w:p>
        </w:tc>
      </w:tr>
      <w:tr w:rsidR="005A1E86">
        <w:tc>
          <w:tcPr>
            <w:tcW w:w="776" w:type="dxa"/>
          </w:tcPr>
          <w:p w:rsidR="005A1E86" w:rsidRDefault="005A1E86">
            <w:pPr>
              <w:pStyle w:val="ConsPlusNormal"/>
              <w:jc w:val="both"/>
            </w:pPr>
            <w:r>
              <w:t>1.2.3</w:t>
            </w:r>
          </w:p>
        </w:tc>
        <w:tc>
          <w:tcPr>
            <w:tcW w:w="2154" w:type="dxa"/>
          </w:tcPr>
          <w:p w:rsidR="005A1E86" w:rsidRDefault="005A1E86">
            <w:pPr>
              <w:pStyle w:val="ConsPlusNormal"/>
            </w:pPr>
            <w:r>
              <w:t>219-272 мм</w:t>
            </w:r>
          </w:p>
        </w:tc>
        <w:tc>
          <w:tcPr>
            <w:tcW w:w="4422" w:type="dxa"/>
            <w:vAlign w:val="center"/>
          </w:tcPr>
          <w:p w:rsidR="005A1E86" w:rsidRDefault="005A1E86">
            <w:pPr>
              <w:pStyle w:val="ConsPlusNormal"/>
              <w:jc w:val="center"/>
            </w:pPr>
            <w:r>
              <w:t>519,39</w:t>
            </w:r>
          </w:p>
        </w:tc>
      </w:tr>
      <w:tr w:rsidR="005A1E86">
        <w:tc>
          <w:tcPr>
            <w:tcW w:w="776" w:type="dxa"/>
          </w:tcPr>
          <w:p w:rsidR="005A1E86" w:rsidRDefault="005A1E86">
            <w:pPr>
              <w:pStyle w:val="ConsPlusNormal"/>
              <w:jc w:val="both"/>
            </w:pPr>
            <w:r>
              <w:t>1.2.4</w:t>
            </w:r>
          </w:p>
        </w:tc>
        <w:tc>
          <w:tcPr>
            <w:tcW w:w="2154" w:type="dxa"/>
          </w:tcPr>
          <w:p w:rsidR="005A1E86" w:rsidRDefault="005A1E86">
            <w:pPr>
              <w:pStyle w:val="ConsPlusNormal"/>
            </w:pPr>
            <w:r>
              <w:t>273-324 мм</w:t>
            </w:r>
          </w:p>
        </w:tc>
        <w:tc>
          <w:tcPr>
            <w:tcW w:w="4422" w:type="dxa"/>
            <w:vAlign w:val="center"/>
          </w:tcPr>
          <w:p w:rsidR="005A1E86" w:rsidRDefault="005A1E86">
            <w:pPr>
              <w:pStyle w:val="ConsPlusNormal"/>
              <w:jc w:val="center"/>
            </w:pPr>
            <w:r>
              <w:t>619,75</w:t>
            </w:r>
          </w:p>
        </w:tc>
      </w:tr>
      <w:tr w:rsidR="005A1E86">
        <w:tc>
          <w:tcPr>
            <w:tcW w:w="776" w:type="dxa"/>
          </w:tcPr>
          <w:p w:rsidR="005A1E86" w:rsidRDefault="005A1E86">
            <w:pPr>
              <w:pStyle w:val="ConsPlusNormal"/>
              <w:jc w:val="both"/>
            </w:pPr>
            <w:r>
              <w:t>1.2.5</w:t>
            </w:r>
          </w:p>
        </w:tc>
        <w:tc>
          <w:tcPr>
            <w:tcW w:w="2154" w:type="dxa"/>
          </w:tcPr>
          <w:p w:rsidR="005A1E86" w:rsidRDefault="005A1E86">
            <w:pPr>
              <w:pStyle w:val="ConsPlusNormal"/>
            </w:pPr>
            <w:r>
              <w:t>325-425 мм</w:t>
            </w:r>
          </w:p>
        </w:tc>
        <w:tc>
          <w:tcPr>
            <w:tcW w:w="4422" w:type="dxa"/>
            <w:vAlign w:val="center"/>
          </w:tcPr>
          <w:p w:rsidR="005A1E86" w:rsidRDefault="005A1E86">
            <w:pPr>
              <w:pStyle w:val="ConsPlusNormal"/>
              <w:jc w:val="center"/>
            </w:pPr>
            <w:r>
              <w:t>867,13</w:t>
            </w:r>
          </w:p>
        </w:tc>
      </w:tr>
      <w:tr w:rsidR="005A1E86">
        <w:tc>
          <w:tcPr>
            <w:tcW w:w="776" w:type="dxa"/>
          </w:tcPr>
          <w:p w:rsidR="005A1E86" w:rsidRDefault="005A1E86">
            <w:pPr>
              <w:pStyle w:val="ConsPlusNormal"/>
              <w:jc w:val="both"/>
            </w:pPr>
            <w:r>
              <w:t>1.2.6</w:t>
            </w:r>
          </w:p>
        </w:tc>
        <w:tc>
          <w:tcPr>
            <w:tcW w:w="2154" w:type="dxa"/>
          </w:tcPr>
          <w:p w:rsidR="005A1E86" w:rsidRDefault="005A1E86">
            <w:pPr>
              <w:pStyle w:val="ConsPlusNormal"/>
            </w:pPr>
            <w:r>
              <w:t>426-529 мм</w:t>
            </w:r>
          </w:p>
        </w:tc>
        <w:tc>
          <w:tcPr>
            <w:tcW w:w="4422" w:type="dxa"/>
            <w:vAlign w:val="center"/>
          </w:tcPr>
          <w:p w:rsidR="005A1E86" w:rsidRDefault="005A1E86">
            <w:pPr>
              <w:pStyle w:val="ConsPlusNormal"/>
              <w:jc w:val="center"/>
            </w:pPr>
            <w:r>
              <w:t>5914,75</w:t>
            </w:r>
          </w:p>
        </w:tc>
      </w:tr>
      <w:tr w:rsidR="005A1E86">
        <w:tc>
          <w:tcPr>
            <w:tcW w:w="776" w:type="dxa"/>
          </w:tcPr>
          <w:p w:rsidR="005A1E86" w:rsidRDefault="005A1E86">
            <w:pPr>
              <w:pStyle w:val="ConsPlusNormal"/>
              <w:jc w:val="both"/>
            </w:pPr>
            <w:r>
              <w:t>1.2.7</w:t>
            </w:r>
          </w:p>
        </w:tc>
        <w:tc>
          <w:tcPr>
            <w:tcW w:w="2154" w:type="dxa"/>
          </w:tcPr>
          <w:p w:rsidR="005A1E86" w:rsidRDefault="005A1E86">
            <w:pPr>
              <w:pStyle w:val="ConsPlusNormal"/>
            </w:pPr>
            <w:r>
              <w:t>530 мм и выше</w:t>
            </w:r>
          </w:p>
        </w:tc>
        <w:tc>
          <w:tcPr>
            <w:tcW w:w="4422" w:type="dxa"/>
            <w:vAlign w:val="center"/>
          </w:tcPr>
          <w:p w:rsidR="005A1E86" w:rsidRDefault="005A1E86">
            <w:pPr>
              <w:pStyle w:val="ConsPlusNormal"/>
              <w:jc w:val="center"/>
            </w:pPr>
            <w:r>
              <w:t>9973,48</w:t>
            </w:r>
          </w:p>
        </w:tc>
      </w:tr>
      <w:tr w:rsidR="005A1E86">
        <w:tc>
          <w:tcPr>
            <w:tcW w:w="776" w:type="dxa"/>
          </w:tcPr>
          <w:p w:rsidR="005A1E86" w:rsidRDefault="005A1E86">
            <w:pPr>
              <w:pStyle w:val="ConsPlusNormal"/>
              <w:jc w:val="both"/>
            </w:pPr>
            <w:r>
              <w:t>2</w:t>
            </w:r>
          </w:p>
        </w:tc>
        <w:tc>
          <w:tcPr>
            <w:tcW w:w="6576" w:type="dxa"/>
            <w:gridSpan w:val="2"/>
          </w:tcPr>
          <w:p w:rsidR="005A1E86" w:rsidRDefault="005A1E86">
            <w:pPr>
              <w:pStyle w:val="ConsPlusNormal"/>
              <w:jc w:val="center"/>
            </w:pPr>
            <w:r>
              <w:t>Полиэтиленовые газопроводы (С</w:t>
            </w:r>
            <w:proofErr w:type="gramStart"/>
            <w:r>
              <w:t>4</w:t>
            </w:r>
            <w:proofErr w:type="gramEnd"/>
            <w:r>
              <w:t>)</w:t>
            </w:r>
          </w:p>
        </w:tc>
      </w:tr>
      <w:tr w:rsidR="005A1E86">
        <w:tc>
          <w:tcPr>
            <w:tcW w:w="776" w:type="dxa"/>
          </w:tcPr>
          <w:p w:rsidR="005A1E86" w:rsidRDefault="005A1E86">
            <w:pPr>
              <w:pStyle w:val="ConsPlusNormal"/>
              <w:jc w:val="both"/>
            </w:pPr>
            <w:r>
              <w:t>2.1</w:t>
            </w:r>
          </w:p>
        </w:tc>
        <w:tc>
          <w:tcPr>
            <w:tcW w:w="2154" w:type="dxa"/>
          </w:tcPr>
          <w:p w:rsidR="005A1E86" w:rsidRDefault="005A1E86">
            <w:pPr>
              <w:pStyle w:val="ConsPlusNormal"/>
            </w:pPr>
            <w:r>
              <w:t>109 мм и менее</w:t>
            </w:r>
          </w:p>
        </w:tc>
        <w:tc>
          <w:tcPr>
            <w:tcW w:w="4422" w:type="dxa"/>
            <w:vAlign w:val="center"/>
          </w:tcPr>
          <w:p w:rsidR="005A1E86" w:rsidRDefault="005A1E86">
            <w:pPr>
              <w:pStyle w:val="ConsPlusNormal"/>
              <w:jc w:val="center"/>
            </w:pPr>
            <w:r>
              <w:t>223,29</w:t>
            </w:r>
          </w:p>
        </w:tc>
      </w:tr>
      <w:tr w:rsidR="005A1E86">
        <w:tc>
          <w:tcPr>
            <w:tcW w:w="776" w:type="dxa"/>
          </w:tcPr>
          <w:p w:rsidR="005A1E86" w:rsidRDefault="005A1E86">
            <w:pPr>
              <w:pStyle w:val="ConsPlusNormal"/>
              <w:jc w:val="both"/>
            </w:pPr>
            <w:r>
              <w:t>2.2</w:t>
            </w:r>
          </w:p>
        </w:tc>
        <w:tc>
          <w:tcPr>
            <w:tcW w:w="2154" w:type="dxa"/>
          </w:tcPr>
          <w:p w:rsidR="005A1E86" w:rsidRDefault="005A1E86">
            <w:pPr>
              <w:pStyle w:val="ConsPlusNormal"/>
            </w:pPr>
            <w:r>
              <w:t>110-159 мм</w:t>
            </w:r>
          </w:p>
        </w:tc>
        <w:tc>
          <w:tcPr>
            <w:tcW w:w="4422" w:type="dxa"/>
            <w:vAlign w:val="center"/>
          </w:tcPr>
          <w:p w:rsidR="005A1E86" w:rsidRDefault="005A1E86">
            <w:pPr>
              <w:pStyle w:val="ConsPlusNormal"/>
              <w:jc w:val="center"/>
            </w:pPr>
            <w:r>
              <w:t>294,59</w:t>
            </w:r>
          </w:p>
        </w:tc>
      </w:tr>
      <w:tr w:rsidR="005A1E86">
        <w:tc>
          <w:tcPr>
            <w:tcW w:w="776" w:type="dxa"/>
          </w:tcPr>
          <w:p w:rsidR="005A1E86" w:rsidRDefault="005A1E86">
            <w:pPr>
              <w:pStyle w:val="ConsPlusNormal"/>
              <w:jc w:val="both"/>
            </w:pPr>
            <w:r>
              <w:t>2.3</w:t>
            </w:r>
          </w:p>
        </w:tc>
        <w:tc>
          <w:tcPr>
            <w:tcW w:w="2154" w:type="dxa"/>
          </w:tcPr>
          <w:p w:rsidR="005A1E86" w:rsidRDefault="005A1E86">
            <w:pPr>
              <w:pStyle w:val="ConsPlusNormal"/>
            </w:pPr>
            <w:r>
              <w:t>160-224 мм</w:t>
            </w:r>
          </w:p>
        </w:tc>
        <w:tc>
          <w:tcPr>
            <w:tcW w:w="4422" w:type="dxa"/>
            <w:vAlign w:val="center"/>
          </w:tcPr>
          <w:p w:rsidR="005A1E86" w:rsidRDefault="005A1E86">
            <w:pPr>
              <w:pStyle w:val="ConsPlusNormal"/>
              <w:jc w:val="center"/>
            </w:pPr>
            <w:r>
              <w:t>365,92</w:t>
            </w:r>
          </w:p>
        </w:tc>
      </w:tr>
      <w:tr w:rsidR="005A1E86">
        <w:tc>
          <w:tcPr>
            <w:tcW w:w="776" w:type="dxa"/>
          </w:tcPr>
          <w:p w:rsidR="005A1E86" w:rsidRDefault="005A1E86">
            <w:pPr>
              <w:pStyle w:val="ConsPlusNormal"/>
              <w:jc w:val="both"/>
            </w:pPr>
            <w:r>
              <w:t>2.4</w:t>
            </w:r>
          </w:p>
        </w:tc>
        <w:tc>
          <w:tcPr>
            <w:tcW w:w="2154" w:type="dxa"/>
          </w:tcPr>
          <w:p w:rsidR="005A1E86" w:rsidRDefault="005A1E86">
            <w:pPr>
              <w:pStyle w:val="ConsPlusNormal"/>
            </w:pPr>
            <w:r>
              <w:t>225-314 мм</w:t>
            </w:r>
          </w:p>
        </w:tc>
        <w:tc>
          <w:tcPr>
            <w:tcW w:w="4422" w:type="dxa"/>
            <w:vAlign w:val="center"/>
          </w:tcPr>
          <w:p w:rsidR="005A1E86" w:rsidRDefault="005A1E86">
            <w:pPr>
              <w:pStyle w:val="ConsPlusNormal"/>
              <w:jc w:val="center"/>
            </w:pPr>
            <w:r>
              <w:t>433,33</w:t>
            </w:r>
          </w:p>
        </w:tc>
      </w:tr>
      <w:tr w:rsidR="005A1E86">
        <w:tc>
          <w:tcPr>
            <w:tcW w:w="776" w:type="dxa"/>
          </w:tcPr>
          <w:p w:rsidR="005A1E86" w:rsidRDefault="005A1E86">
            <w:pPr>
              <w:pStyle w:val="ConsPlusNormal"/>
              <w:jc w:val="both"/>
            </w:pPr>
            <w:r>
              <w:t>2.5</w:t>
            </w:r>
          </w:p>
        </w:tc>
        <w:tc>
          <w:tcPr>
            <w:tcW w:w="2154" w:type="dxa"/>
          </w:tcPr>
          <w:p w:rsidR="005A1E86" w:rsidRDefault="005A1E86">
            <w:pPr>
              <w:pStyle w:val="ConsPlusNormal"/>
            </w:pPr>
            <w:r>
              <w:t>315-399 мм</w:t>
            </w:r>
          </w:p>
        </w:tc>
        <w:tc>
          <w:tcPr>
            <w:tcW w:w="4422" w:type="dxa"/>
            <w:vAlign w:val="center"/>
          </w:tcPr>
          <w:p w:rsidR="005A1E86" w:rsidRDefault="005A1E86">
            <w:pPr>
              <w:pStyle w:val="ConsPlusNormal"/>
              <w:jc w:val="center"/>
            </w:pPr>
            <w:r>
              <w:t>618,32</w:t>
            </w:r>
          </w:p>
        </w:tc>
      </w:tr>
      <w:tr w:rsidR="005A1E86">
        <w:tc>
          <w:tcPr>
            <w:tcW w:w="776" w:type="dxa"/>
          </w:tcPr>
          <w:p w:rsidR="005A1E86" w:rsidRDefault="005A1E86">
            <w:pPr>
              <w:pStyle w:val="ConsPlusNormal"/>
              <w:jc w:val="both"/>
            </w:pPr>
            <w:r>
              <w:t>2.6</w:t>
            </w:r>
          </w:p>
        </w:tc>
        <w:tc>
          <w:tcPr>
            <w:tcW w:w="2154" w:type="dxa"/>
          </w:tcPr>
          <w:p w:rsidR="005A1E86" w:rsidRDefault="005A1E86">
            <w:pPr>
              <w:pStyle w:val="ConsPlusNormal"/>
            </w:pPr>
            <w:r>
              <w:t>400 мм и выше</w:t>
            </w:r>
          </w:p>
        </w:tc>
        <w:tc>
          <w:tcPr>
            <w:tcW w:w="4422" w:type="dxa"/>
            <w:vAlign w:val="center"/>
          </w:tcPr>
          <w:p w:rsidR="005A1E86" w:rsidRDefault="005A1E86">
            <w:pPr>
              <w:pStyle w:val="ConsPlusNormal"/>
              <w:jc w:val="center"/>
            </w:pPr>
            <w:r>
              <w:t>755,97</w:t>
            </w:r>
          </w:p>
        </w:tc>
      </w:tr>
    </w:tbl>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right"/>
        <w:outlineLvl w:val="0"/>
      </w:pPr>
      <w:r>
        <w:t>Приложение 3</w:t>
      </w:r>
    </w:p>
    <w:p w:rsidR="005A1E86" w:rsidRDefault="005A1E86">
      <w:pPr>
        <w:pStyle w:val="ConsPlusNormal"/>
        <w:jc w:val="right"/>
      </w:pPr>
      <w:r>
        <w:t>к Постановлению</w:t>
      </w:r>
    </w:p>
    <w:p w:rsidR="005A1E86" w:rsidRDefault="005A1E86">
      <w:pPr>
        <w:pStyle w:val="ConsPlusNormal"/>
        <w:jc w:val="right"/>
      </w:pPr>
      <w:r>
        <w:t>РСТ Пермского края</w:t>
      </w:r>
    </w:p>
    <w:p w:rsidR="005A1E86" w:rsidRDefault="005A1E86">
      <w:pPr>
        <w:pStyle w:val="ConsPlusNormal"/>
        <w:jc w:val="right"/>
      </w:pPr>
      <w:r>
        <w:t>от 28.12.2016 N 138-тп</w:t>
      </w:r>
    </w:p>
    <w:p w:rsidR="005A1E86" w:rsidRDefault="005A1E86">
      <w:pPr>
        <w:pStyle w:val="ConsPlusNormal"/>
        <w:jc w:val="both"/>
      </w:pPr>
    </w:p>
    <w:p w:rsidR="005A1E86" w:rsidRDefault="005A1E86">
      <w:pPr>
        <w:pStyle w:val="ConsPlusNormal"/>
        <w:pBdr>
          <w:top w:val="single" w:sz="6" w:space="0" w:color="auto"/>
        </w:pBdr>
        <w:spacing w:before="100" w:after="100"/>
        <w:jc w:val="both"/>
        <w:rPr>
          <w:sz w:val="2"/>
          <w:szCs w:val="2"/>
        </w:rPr>
      </w:pPr>
    </w:p>
    <w:p w:rsidR="005A1E86" w:rsidRDefault="005A1E86">
      <w:pPr>
        <w:pStyle w:val="ConsPlusNormal"/>
        <w:ind w:firstLine="540"/>
        <w:jc w:val="both"/>
      </w:pPr>
      <w:r>
        <w:t xml:space="preserve">Стандартизированная тарифная ставка </w:t>
      </w:r>
      <w:hyperlink w:anchor="P13" w:history="1">
        <w:r>
          <w:rPr>
            <w:color w:val="0000FF"/>
          </w:rPr>
          <w:t>действует</w:t>
        </w:r>
      </w:hyperlink>
      <w:r>
        <w:t xml:space="preserve"> с 1 января 2017 года по 31 декабря 2017 года.</w:t>
      </w:r>
    </w:p>
    <w:p w:rsidR="005A1E86" w:rsidRDefault="005A1E86">
      <w:pPr>
        <w:pStyle w:val="ConsPlusNormal"/>
        <w:pBdr>
          <w:top w:val="single" w:sz="6" w:space="0" w:color="auto"/>
        </w:pBdr>
        <w:spacing w:before="100" w:after="100"/>
        <w:jc w:val="both"/>
        <w:rPr>
          <w:sz w:val="2"/>
          <w:szCs w:val="2"/>
        </w:rPr>
      </w:pPr>
    </w:p>
    <w:p w:rsidR="005A1E86" w:rsidRDefault="005A1E86">
      <w:pPr>
        <w:pStyle w:val="ConsPlusTitle"/>
        <w:jc w:val="center"/>
      </w:pPr>
      <w:r>
        <w:t>СТАНДАРТИЗИРОВАННАЯ ТАРИФНАЯ СТАВКА</w:t>
      </w:r>
    </w:p>
    <w:p w:rsidR="005A1E86" w:rsidRDefault="005A1E86">
      <w:pPr>
        <w:pStyle w:val="ConsPlusTitle"/>
        <w:jc w:val="center"/>
      </w:pPr>
      <w:r>
        <w:t>НА ПОКРЫТИЕ РАСХОДОВ АКЦИОНЕРНОГО ОБЩЕСТВА "ГАЗПРОМ</w:t>
      </w:r>
    </w:p>
    <w:p w:rsidR="005A1E86" w:rsidRDefault="005A1E86">
      <w:pPr>
        <w:pStyle w:val="ConsPlusTitle"/>
        <w:jc w:val="center"/>
      </w:pPr>
      <w:r>
        <w:t xml:space="preserve">ГАЗОРАСПРЕДЕЛЕНИЕ ПЕРМЬ", </w:t>
      </w:r>
      <w:proofErr w:type="gramStart"/>
      <w:r>
        <w:t>СВЯЗАННЫХ</w:t>
      </w:r>
      <w:proofErr w:type="gramEnd"/>
      <w:r>
        <w:t xml:space="preserve"> СО СТРОИТЕЛЬСТВОМ</w:t>
      </w:r>
    </w:p>
    <w:p w:rsidR="005A1E86" w:rsidRDefault="005A1E86">
      <w:pPr>
        <w:pStyle w:val="ConsPlusTitle"/>
        <w:jc w:val="center"/>
      </w:pPr>
      <w:r>
        <w:t>(РЕКОНСТРУКЦИЕЙ) ГАЗОПРОВОДОВ, ДЛЯ СЛУЧАЕВ, КОГДА</w:t>
      </w:r>
    </w:p>
    <w:p w:rsidR="005A1E86" w:rsidRDefault="005A1E86">
      <w:pPr>
        <w:pStyle w:val="ConsPlusTitle"/>
        <w:jc w:val="center"/>
      </w:pPr>
      <w:r>
        <w:t>ПРОТЯЖЕННОСТЬ СТРОЯЩЕЙСЯ (РЕКОНСТРУИРУЕМОЙ) СЕТИ</w:t>
      </w:r>
    </w:p>
    <w:p w:rsidR="005A1E86" w:rsidRDefault="005A1E86">
      <w:pPr>
        <w:pStyle w:val="ConsPlusTitle"/>
        <w:jc w:val="center"/>
      </w:pPr>
      <w:r>
        <w:t xml:space="preserve">ГАЗОРАСПРЕДЕЛЕНИЯ, </w:t>
      </w:r>
      <w:proofErr w:type="gramStart"/>
      <w:r>
        <w:t>ИЗМЕРЯЕМАЯ</w:t>
      </w:r>
      <w:proofErr w:type="gramEnd"/>
      <w:r>
        <w:t xml:space="preserve"> ПО ПРЯМОЙ ЛИНИИ ОТ ГРАНИЦЫ</w:t>
      </w:r>
    </w:p>
    <w:p w:rsidR="005A1E86" w:rsidRDefault="005A1E86">
      <w:pPr>
        <w:pStyle w:val="ConsPlusTitle"/>
        <w:jc w:val="center"/>
      </w:pPr>
      <w:r>
        <w:t>ЗЕМЕЛЬНОГО УЧАСТКА ДО СЕТИ ГАЗОРАСПРЕДЕЛЕНИЯ ГРО, СОСТАВЛЯЕТ</w:t>
      </w:r>
    </w:p>
    <w:p w:rsidR="005A1E86" w:rsidRDefault="005A1E86">
      <w:pPr>
        <w:pStyle w:val="ConsPlusTitle"/>
        <w:jc w:val="center"/>
      </w:pPr>
      <w:r>
        <w:t xml:space="preserve">150 МЕТРОВ И МЕНЕЕ </w:t>
      </w:r>
      <w:hyperlink w:anchor="P175" w:history="1">
        <w:r>
          <w:rPr>
            <w:color w:val="0000FF"/>
          </w:rPr>
          <w:t>&lt;*&gt;</w:t>
        </w:r>
      </w:hyperlink>
    </w:p>
    <w:p w:rsidR="005A1E86" w:rsidRDefault="005A1E86">
      <w:pPr>
        <w:pStyle w:val="ConsPlusNormal"/>
        <w:jc w:val="both"/>
      </w:pPr>
    </w:p>
    <w:p w:rsidR="005A1E86" w:rsidRDefault="005A1E86">
      <w:pPr>
        <w:pStyle w:val="ConsPlusNormal"/>
        <w:ind w:firstLine="540"/>
        <w:jc w:val="both"/>
      </w:pPr>
      <w:r>
        <w:t>--------------------------------</w:t>
      </w:r>
    </w:p>
    <w:p w:rsidR="005A1E86" w:rsidRDefault="005A1E86">
      <w:pPr>
        <w:pStyle w:val="ConsPlusNormal"/>
        <w:ind w:firstLine="540"/>
        <w:jc w:val="both"/>
      </w:pPr>
      <w:bookmarkStart w:id="3" w:name="P175"/>
      <w:bookmarkEnd w:id="3"/>
      <w:r>
        <w:t>&lt;*&gt; Стандартизированные тарифные ставки установлены в ценах 2001 года.</w:t>
      </w:r>
    </w:p>
    <w:p w:rsidR="005A1E86" w:rsidRDefault="005A1E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499"/>
        <w:gridCol w:w="1361"/>
      </w:tblGrid>
      <w:tr w:rsidR="005A1E86">
        <w:tc>
          <w:tcPr>
            <w:tcW w:w="454" w:type="dxa"/>
          </w:tcPr>
          <w:p w:rsidR="005A1E86" w:rsidRDefault="005A1E86">
            <w:pPr>
              <w:pStyle w:val="ConsPlusNormal"/>
              <w:jc w:val="center"/>
            </w:pPr>
            <w:r>
              <w:t>N</w:t>
            </w:r>
          </w:p>
        </w:tc>
        <w:tc>
          <w:tcPr>
            <w:tcW w:w="5499" w:type="dxa"/>
          </w:tcPr>
          <w:p w:rsidR="005A1E86" w:rsidRDefault="005A1E86">
            <w:pPr>
              <w:pStyle w:val="ConsPlusNormal"/>
              <w:jc w:val="center"/>
            </w:pPr>
            <w:r>
              <w:t>Показатели</w:t>
            </w:r>
          </w:p>
        </w:tc>
        <w:tc>
          <w:tcPr>
            <w:tcW w:w="1361" w:type="dxa"/>
          </w:tcPr>
          <w:p w:rsidR="005A1E86" w:rsidRDefault="005A1E86">
            <w:pPr>
              <w:pStyle w:val="ConsPlusNormal"/>
              <w:jc w:val="center"/>
            </w:pPr>
            <w:r>
              <w:t>Значение</w:t>
            </w:r>
          </w:p>
        </w:tc>
      </w:tr>
      <w:tr w:rsidR="005A1E86">
        <w:tc>
          <w:tcPr>
            <w:tcW w:w="454" w:type="dxa"/>
          </w:tcPr>
          <w:p w:rsidR="005A1E86" w:rsidRDefault="005A1E86">
            <w:pPr>
              <w:pStyle w:val="ConsPlusNormal"/>
              <w:jc w:val="center"/>
            </w:pPr>
            <w:r>
              <w:t>1</w:t>
            </w:r>
          </w:p>
        </w:tc>
        <w:tc>
          <w:tcPr>
            <w:tcW w:w="5499" w:type="dxa"/>
          </w:tcPr>
          <w:p w:rsidR="005A1E86" w:rsidRDefault="005A1E86">
            <w:pPr>
              <w:pStyle w:val="ConsPlusNormal"/>
              <w:jc w:val="center"/>
            </w:pPr>
            <w:r>
              <w:t>2</w:t>
            </w:r>
          </w:p>
        </w:tc>
        <w:tc>
          <w:tcPr>
            <w:tcW w:w="1361" w:type="dxa"/>
          </w:tcPr>
          <w:p w:rsidR="005A1E86" w:rsidRDefault="005A1E86">
            <w:pPr>
              <w:pStyle w:val="ConsPlusNormal"/>
              <w:jc w:val="center"/>
            </w:pPr>
            <w:r>
              <w:t>3</w:t>
            </w:r>
          </w:p>
        </w:tc>
      </w:tr>
      <w:tr w:rsidR="005A1E86">
        <w:tc>
          <w:tcPr>
            <w:tcW w:w="454" w:type="dxa"/>
          </w:tcPr>
          <w:p w:rsidR="005A1E86" w:rsidRDefault="005A1E86">
            <w:pPr>
              <w:pStyle w:val="ConsPlusNormal"/>
              <w:jc w:val="center"/>
            </w:pPr>
            <w:r>
              <w:t>1</w:t>
            </w:r>
          </w:p>
        </w:tc>
        <w:tc>
          <w:tcPr>
            <w:tcW w:w="5499" w:type="dxa"/>
          </w:tcPr>
          <w:p w:rsidR="005A1E86" w:rsidRDefault="005A1E86">
            <w:pPr>
              <w:pStyle w:val="ConsPlusNormal"/>
            </w:pPr>
            <w:r>
              <w:t>Стандартизированная тарифная ставка (С5), руб./м</w:t>
            </w:r>
            <w:r>
              <w:rPr>
                <w:vertAlign w:val="superscript"/>
              </w:rPr>
              <w:t>3</w:t>
            </w:r>
            <w:r>
              <w:t xml:space="preserve"> (без учета НДС)</w:t>
            </w:r>
          </w:p>
        </w:tc>
        <w:tc>
          <w:tcPr>
            <w:tcW w:w="1361" w:type="dxa"/>
          </w:tcPr>
          <w:p w:rsidR="005A1E86" w:rsidRDefault="005A1E86">
            <w:pPr>
              <w:pStyle w:val="ConsPlusNormal"/>
              <w:jc w:val="center"/>
            </w:pPr>
            <w:r>
              <w:t>466,50</w:t>
            </w:r>
          </w:p>
        </w:tc>
      </w:tr>
    </w:tbl>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right"/>
        <w:outlineLvl w:val="0"/>
      </w:pPr>
      <w:r>
        <w:t>Приложение 4</w:t>
      </w:r>
    </w:p>
    <w:p w:rsidR="005A1E86" w:rsidRDefault="005A1E86">
      <w:pPr>
        <w:pStyle w:val="ConsPlusNormal"/>
        <w:jc w:val="right"/>
      </w:pPr>
      <w:r>
        <w:t>к Постановлению</w:t>
      </w:r>
    </w:p>
    <w:p w:rsidR="005A1E86" w:rsidRDefault="005A1E86">
      <w:pPr>
        <w:pStyle w:val="ConsPlusNormal"/>
        <w:jc w:val="right"/>
      </w:pPr>
      <w:r>
        <w:t>РСТ Пермского края</w:t>
      </w:r>
    </w:p>
    <w:p w:rsidR="005A1E86" w:rsidRDefault="005A1E86">
      <w:pPr>
        <w:pStyle w:val="ConsPlusNormal"/>
        <w:jc w:val="right"/>
      </w:pPr>
      <w:r>
        <w:t>от 28.12.2016 N 138-тп</w:t>
      </w:r>
    </w:p>
    <w:p w:rsidR="005A1E86" w:rsidRDefault="005A1E86">
      <w:pPr>
        <w:pStyle w:val="ConsPlusNormal"/>
        <w:jc w:val="both"/>
      </w:pPr>
    </w:p>
    <w:p w:rsidR="005A1E86" w:rsidRDefault="005A1E86">
      <w:pPr>
        <w:pStyle w:val="ConsPlusNormal"/>
        <w:pBdr>
          <w:top w:val="single" w:sz="6" w:space="0" w:color="auto"/>
        </w:pBdr>
        <w:spacing w:before="100" w:after="100"/>
        <w:jc w:val="both"/>
        <w:rPr>
          <w:sz w:val="2"/>
          <w:szCs w:val="2"/>
        </w:rPr>
      </w:pPr>
    </w:p>
    <w:p w:rsidR="005A1E86" w:rsidRDefault="005A1E86">
      <w:pPr>
        <w:pStyle w:val="ConsPlusNormal"/>
        <w:ind w:firstLine="540"/>
        <w:jc w:val="both"/>
      </w:pPr>
      <w:r>
        <w:t xml:space="preserve">Стандартизированные тарифные ставки </w:t>
      </w:r>
      <w:hyperlink w:anchor="P13" w:history="1">
        <w:r>
          <w:rPr>
            <w:color w:val="0000FF"/>
          </w:rPr>
          <w:t>действуют</w:t>
        </w:r>
      </w:hyperlink>
      <w:r>
        <w:t xml:space="preserve"> с 1 января 2017 года по 31 декабря 2017 года.</w:t>
      </w:r>
    </w:p>
    <w:p w:rsidR="005A1E86" w:rsidRDefault="005A1E86">
      <w:pPr>
        <w:pStyle w:val="ConsPlusNormal"/>
        <w:pBdr>
          <w:top w:val="single" w:sz="6" w:space="0" w:color="auto"/>
        </w:pBdr>
        <w:spacing w:before="100" w:after="100"/>
        <w:jc w:val="both"/>
        <w:rPr>
          <w:sz w:val="2"/>
          <w:szCs w:val="2"/>
        </w:rPr>
      </w:pPr>
    </w:p>
    <w:p w:rsidR="005A1E86" w:rsidRDefault="005A1E86">
      <w:pPr>
        <w:pStyle w:val="ConsPlusTitle"/>
        <w:jc w:val="center"/>
      </w:pPr>
      <w:r>
        <w:t>СТАНДАРТИЗИРОВАННЫЕ ТАРИФНЫЕ СТАВКИ</w:t>
      </w:r>
    </w:p>
    <w:p w:rsidR="005A1E86" w:rsidRDefault="005A1E86">
      <w:pPr>
        <w:pStyle w:val="ConsPlusTitle"/>
        <w:jc w:val="center"/>
      </w:pPr>
      <w:r>
        <w:t>НА ПОКРЫТИЕ РАСХОДОВ АКЦИОНЕРНОГО ОБЩЕСТВА "ГАЗПРОМ</w:t>
      </w:r>
    </w:p>
    <w:p w:rsidR="005A1E86" w:rsidRDefault="005A1E86">
      <w:pPr>
        <w:pStyle w:val="ConsPlusTitle"/>
        <w:jc w:val="center"/>
      </w:pPr>
      <w:r>
        <w:t xml:space="preserve">ГАЗОРАСПРЕДЕЛЕНИЕ ПЕРМЬ", </w:t>
      </w:r>
      <w:proofErr w:type="gramStart"/>
      <w:r>
        <w:t>СВЯЗАННЫХ</w:t>
      </w:r>
      <w:proofErr w:type="gramEnd"/>
      <w:r>
        <w:t xml:space="preserve"> СО СТРОИТЕЛЬСТВОМ</w:t>
      </w:r>
    </w:p>
    <w:p w:rsidR="005A1E86" w:rsidRDefault="005A1E86">
      <w:pPr>
        <w:pStyle w:val="ConsPlusTitle"/>
        <w:jc w:val="center"/>
      </w:pPr>
      <w:r>
        <w:t xml:space="preserve">(РЕКОНСТРУКЦИЕЙ) ГАЗОРЕГУЛЯТОРНЫХ ПУНКТОВ </w:t>
      </w:r>
      <w:hyperlink w:anchor="P205" w:history="1">
        <w:r>
          <w:rPr>
            <w:color w:val="0000FF"/>
          </w:rPr>
          <w:t>&lt;*&gt;</w:t>
        </w:r>
      </w:hyperlink>
    </w:p>
    <w:p w:rsidR="005A1E86" w:rsidRDefault="005A1E86">
      <w:pPr>
        <w:pStyle w:val="ConsPlusNormal"/>
        <w:jc w:val="both"/>
      </w:pPr>
    </w:p>
    <w:p w:rsidR="005A1E86" w:rsidRDefault="005A1E86">
      <w:pPr>
        <w:pStyle w:val="ConsPlusNormal"/>
        <w:ind w:firstLine="540"/>
        <w:jc w:val="both"/>
      </w:pPr>
      <w:r>
        <w:t>--------------------------------</w:t>
      </w:r>
    </w:p>
    <w:p w:rsidR="005A1E86" w:rsidRDefault="005A1E86">
      <w:pPr>
        <w:pStyle w:val="ConsPlusNormal"/>
        <w:ind w:firstLine="540"/>
        <w:jc w:val="both"/>
      </w:pPr>
      <w:bookmarkStart w:id="4" w:name="P205"/>
      <w:bookmarkEnd w:id="4"/>
      <w:r>
        <w:t>&lt;*&gt; Стандартизированные тарифные ставки установлены в ценах 2001 года.</w:t>
      </w:r>
    </w:p>
    <w:p w:rsidR="005A1E86" w:rsidRDefault="005A1E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8"/>
        <w:gridCol w:w="3288"/>
      </w:tblGrid>
      <w:tr w:rsidR="005A1E86">
        <w:tc>
          <w:tcPr>
            <w:tcW w:w="567" w:type="dxa"/>
          </w:tcPr>
          <w:p w:rsidR="005A1E86" w:rsidRDefault="005A1E86">
            <w:pPr>
              <w:pStyle w:val="ConsPlusNormal"/>
              <w:jc w:val="center"/>
            </w:pPr>
            <w:r>
              <w:t>N</w:t>
            </w:r>
          </w:p>
        </w:tc>
        <w:tc>
          <w:tcPr>
            <w:tcW w:w="3458" w:type="dxa"/>
          </w:tcPr>
          <w:p w:rsidR="005A1E86" w:rsidRDefault="005A1E86">
            <w:pPr>
              <w:pStyle w:val="ConsPlusNormal"/>
              <w:jc w:val="center"/>
            </w:pPr>
            <w:r>
              <w:t>Показатели</w:t>
            </w:r>
          </w:p>
        </w:tc>
        <w:tc>
          <w:tcPr>
            <w:tcW w:w="3288" w:type="dxa"/>
          </w:tcPr>
          <w:p w:rsidR="005A1E86" w:rsidRDefault="005A1E86">
            <w:pPr>
              <w:pStyle w:val="ConsPlusNormal"/>
              <w:jc w:val="center"/>
            </w:pPr>
            <w:r>
              <w:t>Стандартизированная тарифная ставка (С</w:t>
            </w:r>
            <w:proofErr w:type="gramStart"/>
            <w:r>
              <w:t>6</w:t>
            </w:r>
            <w:proofErr w:type="gramEnd"/>
            <w:r>
              <w:t>), руб./м3 (без учета НДС)</w:t>
            </w:r>
          </w:p>
        </w:tc>
      </w:tr>
      <w:tr w:rsidR="005A1E86">
        <w:tc>
          <w:tcPr>
            <w:tcW w:w="567" w:type="dxa"/>
          </w:tcPr>
          <w:p w:rsidR="005A1E86" w:rsidRDefault="005A1E86">
            <w:pPr>
              <w:pStyle w:val="ConsPlusNormal"/>
              <w:jc w:val="center"/>
            </w:pPr>
            <w:r>
              <w:t>1</w:t>
            </w:r>
          </w:p>
        </w:tc>
        <w:tc>
          <w:tcPr>
            <w:tcW w:w="3458" w:type="dxa"/>
          </w:tcPr>
          <w:p w:rsidR="005A1E86" w:rsidRDefault="005A1E86">
            <w:pPr>
              <w:pStyle w:val="ConsPlusNormal"/>
              <w:jc w:val="center"/>
            </w:pPr>
            <w:r>
              <w:t>2</w:t>
            </w:r>
          </w:p>
        </w:tc>
        <w:tc>
          <w:tcPr>
            <w:tcW w:w="3288" w:type="dxa"/>
            <w:vAlign w:val="center"/>
          </w:tcPr>
          <w:p w:rsidR="005A1E86" w:rsidRDefault="005A1E86">
            <w:pPr>
              <w:pStyle w:val="ConsPlusNormal"/>
              <w:jc w:val="center"/>
            </w:pPr>
            <w:r>
              <w:t>3</w:t>
            </w:r>
          </w:p>
        </w:tc>
      </w:tr>
      <w:tr w:rsidR="005A1E86">
        <w:tc>
          <w:tcPr>
            <w:tcW w:w="567" w:type="dxa"/>
          </w:tcPr>
          <w:p w:rsidR="005A1E86" w:rsidRDefault="005A1E86">
            <w:pPr>
              <w:pStyle w:val="ConsPlusNormal"/>
              <w:jc w:val="center"/>
            </w:pPr>
            <w:r>
              <w:t>1</w:t>
            </w:r>
          </w:p>
        </w:tc>
        <w:tc>
          <w:tcPr>
            <w:tcW w:w="3458" w:type="dxa"/>
          </w:tcPr>
          <w:p w:rsidR="005A1E86" w:rsidRDefault="005A1E86">
            <w:pPr>
              <w:pStyle w:val="ConsPlusNormal"/>
            </w:pPr>
            <w:r>
              <w:t>до 40 куб. метров в час</w:t>
            </w:r>
          </w:p>
        </w:tc>
        <w:tc>
          <w:tcPr>
            <w:tcW w:w="3288" w:type="dxa"/>
            <w:vAlign w:val="center"/>
          </w:tcPr>
          <w:p w:rsidR="005A1E86" w:rsidRDefault="005A1E86">
            <w:pPr>
              <w:pStyle w:val="ConsPlusNormal"/>
              <w:jc w:val="center"/>
            </w:pPr>
            <w:r>
              <w:t>565,67</w:t>
            </w:r>
          </w:p>
        </w:tc>
      </w:tr>
      <w:tr w:rsidR="005A1E86">
        <w:tc>
          <w:tcPr>
            <w:tcW w:w="567" w:type="dxa"/>
          </w:tcPr>
          <w:p w:rsidR="005A1E86" w:rsidRDefault="005A1E86">
            <w:pPr>
              <w:pStyle w:val="ConsPlusNormal"/>
              <w:jc w:val="center"/>
            </w:pPr>
            <w:r>
              <w:t>2</w:t>
            </w:r>
          </w:p>
        </w:tc>
        <w:tc>
          <w:tcPr>
            <w:tcW w:w="3458" w:type="dxa"/>
          </w:tcPr>
          <w:p w:rsidR="005A1E86" w:rsidRDefault="005A1E86">
            <w:pPr>
              <w:pStyle w:val="ConsPlusNormal"/>
            </w:pPr>
            <w:r>
              <w:t>40-99 куб. метров в час</w:t>
            </w:r>
          </w:p>
        </w:tc>
        <w:tc>
          <w:tcPr>
            <w:tcW w:w="3288" w:type="dxa"/>
            <w:vAlign w:val="center"/>
          </w:tcPr>
          <w:p w:rsidR="005A1E86" w:rsidRDefault="005A1E86">
            <w:pPr>
              <w:pStyle w:val="ConsPlusNormal"/>
              <w:jc w:val="center"/>
            </w:pPr>
            <w:r>
              <w:t>518,95</w:t>
            </w:r>
          </w:p>
        </w:tc>
      </w:tr>
      <w:tr w:rsidR="005A1E86">
        <w:tc>
          <w:tcPr>
            <w:tcW w:w="567" w:type="dxa"/>
          </w:tcPr>
          <w:p w:rsidR="005A1E86" w:rsidRDefault="005A1E86">
            <w:pPr>
              <w:pStyle w:val="ConsPlusNormal"/>
              <w:jc w:val="center"/>
            </w:pPr>
            <w:r>
              <w:t>3</w:t>
            </w:r>
          </w:p>
        </w:tc>
        <w:tc>
          <w:tcPr>
            <w:tcW w:w="3458" w:type="dxa"/>
          </w:tcPr>
          <w:p w:rsidR="005A1E86" w:rsidRDefault="005A1E86">
            <w:pPr>
              <w:pStyle w:val="ConsPlusNormal"/>
            </w:pPr>
            <w:r>
              <w:t>100-399 куб. метров в час</w:t>
            </w:r>
          </w:p>
        </w:tc>
        <w:tc>
          <w:tcPr>
            <w:tcW w:w="3288" w:type="dxa"/>
            <w:vAlign w:val="center"/>
          </w:tcPr>
          <w:p w:rsidR="005A1E86" w:rsidRDefault="005A1E86">
            <w:pPr>
              <w:pStyle w:val="ConsPlusNormal"/>
              <w:jc w:val="center"/>
            </w:pPr>
            <w:r>
              <w:t>243,31</w:t>
            </w:r>
          </w:p>
        </w:tc>
      </w:tr>
      <w:tr w:rsidR="005A1E86">
        <w:tc>
          <w:tcPr>
            <w:tcW w:w="567" w:type="dxa"/>
          </w:tcPr>
          <w:p w:rsidR="005A1E86" w:rsidRDefault="005A1E86">
            <w:pPr>
              <w:pStyle w:val="ConsPlusNormal"/>
              <w:jc w:val="center"/>
            </w:pPr>
            <w:r>
              <w:t>4</w:t>
            </w:r>
          </w:p>
        </w:tc>
        <w:tc>
          <w:tcPr>
            <w:tcW w:w="3458" w:type="dxa"/>
          </w:tcPr>
          <w:p w:rsidR="005A1E86" w:rsidRDefault="005A1E86">
            <w:pPr>
              <w:pStyle w:val="ConsPlusNormal"/>
            </w:pPr>
            <w:r>
              <w:t>400-999 куб. метров в час</w:t>
            </w:r>
          </w:p>
        </w:tc>
        <w:tc>
          <w:tcPr>
            <w:tcW w:w="3288" w:type="dxa"/>
            <w:vAlign w:val="center"/>
          </w:tcPr>
          <w:p w:rsidR="005A1E86" w:rsidRDefault="005A1E86">
            <w:pPr>
              <w:pStyle w:val="ConsPlusNormal"/>
              <w:jc w:val="center"/>
            </w:pPr>
            <w:r>
              <w:t>106,03</w:t>
            </w:r>
          </w:p>
        </w:tc>
      </w:tr>
      <w:tr w:rsidR="005A1E86">
        <w:tc>
          <w:tcPr>
            <w:tcW w:w="567" w:type="dxa"/>
          </w:tcPr>
          <w:p w:rsidR="005A1E86" w:rsidRDefault="005A1E86">
            <w:pPr>
              <w:pStyle w:val="ConsPlusNormal"/>
              <w:jc w:val="center"/>
            </w:pPr>
            <w:r>
              <w:t>5</w:t>
            </w:r>
          </w:p>
        </w:tc>
        <w:tc>
          <w:tcPr>
            <w:tcW w:w="3458" w:type="dxa"/>
          </w:tcPr>
          <w:p w:rsidR="005A1E86" w:rsidRDefault="005A1E86">
            <w:pPr>
              <w:pStyle w:val="ConsPlusNormal"/>
            </w:pPr>
            <w:r>
              <w:t>1000-1999 куб. метров в час</w:t>
            </w:r>
          </w:p>
        </w:tc>
        <w:tc>
          <w:tcPr>
            <w:tcW w:w="3288" w:type="dxa"/>
            <w:vAlign w:val="center"/>
          </w:tcPr>
          <w:p w:rsidR="005A1E86" w:rsidRDefault="005A1E86">
            <w:pPr>
              <w:pStyle w:val="ConsPlusNormal"/>
              <w:jc w:val="center"/>
            </w:pPr>
            <w:r>
              <w:t>53,21</w:t>
            </w:r>
          </w:p>
        </w:tc>
      </w:tr>
      <w:tr w:rsidR="005A1E86">
        <w:tc>
          <w:tcPr>
            <w:tcW w:w="567" w:type="dxa"/>
          </w:tcPr>
          <w:p w:rsidR="005A1E86" w:rsidRDefault="005A1E86">
            <w:pPr>
              <w:pStyle w:val="ConsPlusNormal"/>
              <w:jc w:val="center"/>
            </w:pPr>
            <w:r>
              <w:t>6</w:t>
            </w:r>
          </w:p>
        </w:tc>
        <w:tc>
          <w:tcPr>
            <w:tcW w:w="3458" w:type="dxa"/>
          </w:tcPr>
          <w:p w:rsidR="005A1E86" w:rsidRDefault="005A1E86">
            <w:pPr>
              <w:pStyle w:val="ConsPlusNormal"/>
            </w:pPr>
            <w:r>
              <w:t>2000-2999 куб. метров в час</w:t>
            </w:r>
          </w:p>
        </w:tc>
        <w:tc>
          <w:tcPr>
            <w:tcW w:w="3288" w:type="dxa"/>
            <w:vAlign w:val="center"/>
          </w:tcPr>
          <w:p w:rsidR="005A1E86" w:rsidRDefault="005A1E86">
            <w:pPr>
              <w:pStyle w:val="ConsPlusNormal"/>
              <w:jc w:val="center"/>
            </w:pPr>
            <w:r>
              <w:t>43,66</w:t>
            </w:r>
          </w:p>
        </w:tc>
      </w:tr>
      <w:tr w:rsidR="005A1E86">
        <w:tc>
          <w:tcPr>
            <w:tcW w:w="567" w:type="dxa"/>
          </w:tcPr>
          <w:p w:rsidR="005A1E86" w:rsidRDefault="005A1E86">
            <w:pPr>
              <w:pStyle w:val="ConsPlusNormal"/>
              <w:jc w:val="center"/>
            </w:pPr>
            <w:r>
              <w:t>7</w:t>
            </w:r>
          </w:p>
        </w:tc>
        <w:tc>
          <w:tcPr>
            <w:tcW w:w="3458" w:type="dxa"/>
          </w:tcPr>
          <w:p w:rsidR="005A1E86" w:rsidRDefault="005A1E86">
            <w:pPr>
              <w:pStyle w:val="ConsPlusNormal"/>
            </w:pPr>
            <w:r>
              <w:t>3000-3999 куб. метров в час</w:t>
            </w:r>
          </w:p>
        </w:tc>
        <w:tc>
          <w:tcPr>
            <w:tcW w:w="3288" w:type="dxa"/>
            <w:vAlign w:val="center"/>
          </w:tcPr>
          <w:p w:rsidR="005A1E86" w:rsidRDefault="005A1E86">
            <w:pPr>
              <w:pStyle w:val="ConsPlusNormal"/>
              <w:jc w:val="center"/>
            </w:pPr>
            <w:r>
              <w:t>39,99</w:t>
            </w:r>
          </w:p>
        </w:tc>
      </w:tr>
      <w:tr w:rsidR="005A1E86">
        <w:tc>
          <w:tcPr>
            <w:tcW w:w="567" w:type="dxa"/>
          </w:tcPr>
          <w:p w:rsidR="005A1E86" w:rsidRDefault="005A1E86">
            <w:pPr>
              <w:pStyle w:val="ConsPlusNormal"/>
              <w:jc w:val="center"/>
            </w:pPr>
            <w:r>
              <w:t>8</w:t>
            </w:r>
          </w:p>
        </w:tc>
        <w:tc>
          <w:tcPr>
            <w:tcW w:w="3458" w:type="dxa"/>
          </w:tcPr>
          <w:p w:rsidR="005A1E86" w:rsidRDefault="005A1E86">
            <w:pPr>
              <w:pStyle w:val="ConsPlusNormal"/>
            </w:pPr>
            <w:r>
              <w:t>4000-4999 куб. метров в час</w:t>
            </w:r>
          </w:p>
        </w:tc>
        <w:tc>
          <w:tcPr>
            <w:tcW w:w="3288" w:type="dxa"/>
            <w:vAlign w:val="center"/>
          </w:tcPr>
          <w:p w:rsidR="005A1E86" w:rsidRDefault="005A1E86">
            <w:pPr>
              <w:pStyle w:val="ConsPlusNormal"/>
              <w:jc w:val="center"/>
            </w:pPr>
            <w:r>
              <w:t>31,10</w:t>
            </w:r>
          </w:p>
        </w:tc>
      </w:tr>
      <w:tr w:rsidR="005A1E86">
        <w:tc>
          <w:tcPr>
            <w:tcW w:w="567" w:type="dxa"/>
          </w:tcPr>
          <w:p w:rsidR="005A1E86" w:rsidRDefault="005A1E86">
            <w:pPr>
              <w:pStyle w:val="ConsPlusNormal"/>
              <w:jc w:val="center"/>
            </w:pPr>
            <w:r>
              <w:t>9</w:t>
            </w:r>
          </w:p>
        </w:tc>
        <w:tc>
          <w:tcPr>
            <w:tcW w:w="3458" w:type="dxa"/>
          </w:tcPr>
          <w:p w:rsidR="005A1E86" w:rsidRDefault="005A1E86">
            <w:pPr>
              <w:pStyle w:val="ConsPlusNormal"/>
            </w:pPr>
            <w:r>
              <w:t>5000-9999 куб. метров в час</w:t>
            </w:r>
          </w:p>
        </w:tc>
        <w:tc>
          <w:tcPr>
            <w:tcW w:w="3288" w:type="dxa"/>
            <w:vAlign w:val="center"/>
          </w:tcPr>
          <w:p w:rsidR="005A1E86" w:rsidRDefault="005A1E86">
            <w:pPr>
              <w:pStyle w:val="ConsPlusNormal"/>
              <w:jc w:val="center"/>
            </w:pPr>
            <w:r>
              <w:t>21,78</w:t>
            </w:r>
          </w:p>
        </w:tc>
      </w:tr>
      <w:tr w:rsidR="005A1E86">
        <w:tc>
          <w:tcPr>
            <w:tcW w:w="567" w:type="dxa"/>
          </w:tcPr>
          <w:p w:rsidR="005A1E86" w:rsidRDefault="005A1E86">
            <w:pPr>
              <w:pStyle w:val="ConsPlusNormal"/>
              <w:jc w:val="center"/>
            </w:pPr>
            <w:r>
              <w:t>10</w:t>
            </w:r>
          </w:p>
        </w:tc>
        <w:tc>
          <w:tcPr>
            <w:tcW w:w="3458" w:type="dxa"/>
          </w:tcPr>
          <w:p w:rsidR="005A1E86" w:rsidRDefault="005A1E86">
            <w:pPr>
              <w:pStyle w:val="ConsPlusNormal"/>
            </w:pPr>
            <w:r>
              <w:t>10000-19999 куб. метров в час</w:t>
            </w:r>
          </w:p>
        </w:tc>
        <w:tc>
          <w:tcPr>
            <w:tcW w:w="3288" w:type="dxa"/>
            <w:vAlign w:val="center"/>
          </w:tcPr>
          <w:p w:rsidR="005A1E86" w:rsidRDefault="005A1E86">
            <w:pPr>
              <w:pStyle w:val="ConsPlusNormal"/>
              <w:jc w:val="center"/>
            </w:pPr>
            <w:r>
              <w:t>10,89</w:t>
            </w:r>
          </w:p>
        </w:tc>
      </w:tr>
      <w:tr w:rsidR="005A1E86">
        <w:tc>
          <w:tcPr>
            <w:tcW w:w="567" w:type="dxa"/>
          </w:tcPr>
          <w:p w:rsidR="005A1E86" w:rsidRDefault="005A1E86">
            <w:pPr>
              <w:pStyle w:val="ConsPlusNormal"/>
              <w:jc w:val="center"/>
            </w:pPr>
            <w:r>
              <w:t>11</w:t>
            </w:r>
          </w:p>
        </w:tc>
        <w:tc>
          <w:tcPr>
            <w:tcW w:w="3458" w:type="dxa"/>
          </w:tcPr>
          <w:p w:rsidR="005A1E86" w:rsidRDefault="005A1E86">
            <w:pPr>
              <w:pStyle w:val="ConsPlusNormal"/>
            </w:pPr>
            <w:r>
              <w:t>20000-29999 куб. метров в час</w:t>
            </w:r>
          </w:p>
        </w:tc>
        <w:tc>
          <w:tcPr>
            <w:tcW w:w="3288" w:type="dxa"/>
            <w:vAlign w:val="center"/>
          </w:tcPr>
          <w:p w:rsidR="005A1E86" w:rsidRDefault="005A1E86">
            <w:pPr>
              <w:pStyle w:val="ConsPlusNormal"/>
              <w:jc w:val="center"/>
            </w:pPr>
            <w:r>
              <w:t>6,53</w:t>
            </w:r>
          </w:p>
        </w:tc>
      </w:tr>
      <w:tr w:rsidR="005A1E86">
        <w:tc>
          <w:tcPr>
            <w:tcW w:w="567" w:type="dxa"/>
          </w:tcPr>
          <w:p w:rsidR="005A1E86" w:rsidRDefault="005A1E86">
            <w:pPr>
              <w:pStyle w:val="ConsPlusNormal"/>
              <w:jc w:val="center"/>
            </w:pPr>
            <w:r>
              <w:t>12</w:t>
            </w:r>
          </w:p>
        </w:tc>
        <w:tc>
          <w:tcPr>
            <w:tcW w:w="3458" w:type="dxa"/>
          </w:tcPr>
          <w:p w:rsidR="005A1E86" w:rsidRDefault="005A1E86">
            <w:pPr>
              <w:pStyle w:val="ConsPlusNormal"/>
            </w:pPr>
            <w:r>
              <w:t>30000 куб. метров в час и выше</w:t>
            </w:r>
          </w:p>
        </w:tc>
        <w:tc>
          <w:tcPr>
            <w:tcW w:w="3288" w:type="dxa"/>
            <w:vAlign w:val="center"/>
          </w:tcPr>
          <w:p w:rsidR="005A1E86" w:rsidRDefault="005A1E86">
            <w:pPr>
              <w:pStyle w:val="ConsPlusNormal"/>
              <w:jc w:val="center"/>
            </w:pPr>
            <w:r>
              <w:t>5,44</w:t>
            </w:r>
          </w:p>
        </w:tc>
      </w:tr>
    </w:tbl>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right"/>
        <w:outlineLvl w:val="0"/>
      </w:pPr>
      <w:r>
        <w:t>Приложение 5</w:t>
      </w:r>
    </w:p>
    <w:p w:rsidR="005A1E86" w:rsidRDefault="005A1E86">
      <w:pPr>
        <w:pStyle w:val="ConsPlusNormal"/>
        <w:jc w:val="right"/>
      </w:pPr>
      <w:r>
        <w:t>к Постановлению</w:t>
      </w:r>
    </w:p>
    <w:p w:rsidR="005A1E86" w:rsidRDefault="005A1E86">
      <w:pPr>
        <w:pStyle w:val="ConsPlusNormal"/>
        <w:jc w:val="right"/>
      </w:pPr>
      <w:r>
        <w:t>РСТ Пермского края</w:t>
      </w:r>
    </w:p>
    <w:p w:rsidR="005A1E86" w:rsidRDefault="005A1E86">
      <w:pPr>
        <w:pStyle w:val="ConsPlusNormal"/>
        <w:jc w:val="right"/>
      </w:pPr>
      <w:r>
        <w:t>от 28.12.2016 N 138-тп</w:t>
      </w:r>
    </w:p>
    <w:p w:rsidR="005A1E86" w:rsidRDefault="005A1E86">
      <w:pPr>
        <w:pStyle w:val="ConsPlusNormal"/>
        <w:jc w:val="both"/>
      </w:pPr>
    </w:p>
    <w:p w:rsidR="005A1E86" w:rsidRDefault="005A1E86">
      <w:pPr>
        <w:pStyle w:val="ConsPlusNormal"/>
        <w:pBdr>
          <w:top w:val="single" w:sz="6" w:space="0" w:color="auto"/>
        </w:pBdr>
        <w:spacing w:before="100" w:after="100"/>
        <w:jc w:val="both"/>
        <w:rPr>
          <w:sz w:val="2"/>
          <w:szCs w:val="2"/>
        </w:rPr>
      </w:pPr>
    </w:p>
    <w:p w:rsidR="005A1E86" w:rsidRDefault="005A1E86">
      <w:pPr>
        <w:pStyle w:val="ConsPlusNormal"/>
        <w:ind w:firstLine="540"/>
        <w:jc w:val="both"/>
      </w:pPr>
      <w:r>
        <w:t xml:space="preserve">Стандартизированная тарифная ставка </w:t>
      </w:r>
      <w:hyperlink w:anchor="P13" w:history="1">
        <w:r>
          <w:rPr>
            <w:color w:val="0000FF"/>
          </w:rPr>
          <w:t>действует</w:t>
        </w:r>
      </w:hyperlink>
      <w:r>
        <w:t xml:space="preserve"> с 1 января 2017 года по 31 декабря 2017 года.</w:t>
      </w:r>
    </w:p>
    <w:p w:rsidR="005A1E86" w:rsidRDefault="005A1E86">
      <w:pPr>
        <w:pStyle w:val="ConsPlusNormal"/>
        <w:pBdr>
          <w:top w:val="single" w:sz="6" w:space="0" w:color="auto"/>
        </w:pBdr>
        <w:spacing w:before="100" w:after="100"/>
        <w:jc w:val="both"/>
        <w:rPr>
          <w:sz w:val="2"/>
          <w:szCs w:val="2"/>
        </w:rPr>
      </w:pPr>
    </w:p>
    <w:p w:rsidR="005A1E86" w:rsidRDefault="005A1E86">
      <w:pPr>
        <w:pStyle w:val="ConsPlusTitle"/>
        <w:jc w:val="center"/>
      </w:pPr>
      <w:r>
        <w:t>СТАНДАРТИЗИРОВАННАЯ ТАРИФНАЯ СТАВКА</w:t>
      </w:r>
    </w:p>
    <w:p w:rsidR="005A1E86" w:rsidRDefault="005A1E86">
      <w:pPr>
        <w:pStyle w:val="ConsPlusTitle"/>
        <w:jc w:val="center"/>
      </w:pPr>
      <w:r>
        <w:t>НА ПОКРЫТИЕ РАСХОДОВ АКЦИОНЕРНОГО ОБЩЕСТВА "ГАЗПРОМ</w:t>
      </w:r>
    </w:p>
    <w:p w:rsidR="005A1E86" w:rsidRDefault="005A1E86">
      <w:pPr>
        <w:pStyle w:val="ConsPlusTitle"/>
        <w:jc w:val="center"/>
      </w:pPr>
      <w:r>
        <w:t xml:space="preserve">ГАЗОРАСПРЕДЕЛЕНИЕ ПЕРМЬ", </w:t>
      </w:r>
      <w:proofErr w:type="gramStart"/>
      <w:r>
        <w:t>СВЯЗАННЫХ</w:t>
      </w:r>
      <w:proofErr w:type="gramEnd"/>
      <w:r>
        <w:t xml:space="preserve"> СО СТРОИТЕЛЬСТВОМ</w:t>
      </w:r>
    </w:p>
    <w:p w:rsidR="005A1E86" w:rsidRDefault="005A1E86">
      <w:pPr>
        <w:pStyle w:val="ConsPlusTitle"/>
        <w:jc w:val="center"/>
      </w:pPr>
      <w:r>
        <w:t xml:space="preserve">(РЕКОНСТРУКЦИЕЙ) СТАНЦИЙ КАТОДНОЙ ЗАЩИТЫ </w:t>
      </w:r>
      <w:hyperlink w:anchor="P268" w:history="1">
        <w:r>
          <w:rPr>
            <w:color w:val="0000FF"/>
          </w:rPr>
          <w:t>&lt;*&gt;</w:t>
        </w:r>
      </w:hyperlink>
    </w:p>
    <w:p w:rsidR="005A1E86" w:rsidRDefault="005A1E86">
      <w:pPr>
        <w:pStyle w:val="ConsPlusNormal"/>
        <w:jc w:val="both"/>
      </w:pPr>
    </w:p>
    <w:p w:rsidR="005A1E86" w:rsidRDefault="005A1E86">
      <w:pPr>
        <w:pStyle w:val="ConsPlusNormal"/>
        <w:ind w:firstLine="540"/>
        <w:jc w:val="both"/>
      </w:pPr>
      <w:r>
        <w:t>--------------------------------</w:t>
      </w:r>
    </w:p>
    <w:p w:rsidR="005A1E86" w:rsidRDefault="005A1E86">
      <w:pPr>
        <w:pStyle w:val="ConsPlusNormal"/>
        <w:ind w:firstLine="540"/>
        <w:jc w:val="both"/>
      </w:pPr>
      <w:bookmarkStart w:id="5" w:name="P268"/>
      <w:bookmarkEnd w:id="5"/>
      <w:r>
        <w:t>&lt;*&gt; Стандартизированные тарифные ставки установлены в ценах 2001 года.</w:t>
      </w:r>
    </w:p>
    <w:p w:rsidR="005A1E86" w:rsidRDefault="005A1E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443"/>
        <w:gridCol w:w="1417"/>
      </w:tblGrid>
      <w:tr w:rsidR="005A1E86">
        <w:tc>
          <w:tcPr>
            <w:tcW w:w="454" w:type="dxa"/>
          </w:tcPr>
          <w:p w:rsidR="005A1E86" w:rsidRDefault="005A1E86">
            <w:pPr>
              <w:pStyle w:val="ConsPlusNormal"/>
              <w:jc w:val="center"/>
            </w:pPr>
            <w:r>
              <w:t>N</w:t>
            </w:r>
          </w:p>
        </w:tc>
        <w:tc>
          <w:tcPr>
            <w:tcW w:w="5443" w:type="dxa"/>
          </w:tcPr>
          <w:p w:rsidR="005A1E86" w:rsidRDefault="005A1E86">
            <w:pPr>
              <w:pStyle w:val="ConsPlusNormal"/>
              <w:jc w:val="center"/>
            </w:pPr>
            <w:r>
              <w:t>Показатели</w:t>
            </w:r>
          </w:p>
        </w:tc>
        <w:tc>
          <w:tcPr>
            <w:tcW w:w="1417" w:type="dxa"/>
          </w:tcPr>
          <w:p w:rsidR="005A1E86" w:rsidRDefault="005A1E86">
            <w:pPr>
              <w:pStyle w:val="ConsPlusNormal"/>
              <w:jc w:val="center"/>
            </w:pPr>
            <w:r>
              <w:t>Значение</w:t>
            </w:r>
          </w:p>
        </w:tc>
      </w:tr>
      <w:tr w:rsidR="005A1E86">
        <w:tc>
          <w:tcPr>
            <w:tcW w:w="454" w:type="dxa"/>
          </w:tcPr>
          <w:p w:rsidR="005A1E86" w:rsidRDefault="005A1E86">
            <w:pPr>
              <w:pStyle w:val="ConsPlusNormal"/>
              <w:jc w:val="center"/>
            </w:pPr>
            <w:r>
              <w:t>1</w:t>
            </w:r>
          </w:p>
        </w:tc>
        <w:tc>
          <w:tcPr>
            <w:tcW w:w="5443" w:type="dxa"/>
          </w:tcPr>
          <w:p w:rsidR="005A1E86" w:rsidRDefault="005A1E86">
            <w:pPr>
              <w:pStyle w:val="ConsPlusNormal"/>
              <w:jc w:val="center"/>
            </w:pPr>
            <w:r>
              <w:t>2</w:t>
            </w:r>
          </w:p>
        </w:tc>
        <w:tc>
          <w:tcPr>
            <w:tcW w:w="1417" w:type="dxa"/>
          </w:tcPr>
          <w:p w:rsidR="005A1E86" w:rsidRDefault="005A1E86">
            <w:pPr>
              <w:pStyle w:val="ConsPlusNormal"/>
              <w:jc w:val="center"/>
            </w:pPr>
            <w:r>
              <w:t>3</w:t>
            </w:r>
          </w:p>
        </w:tc>
      </w:tr>
      <w:tr w:rsidR="005A1E86">
        <w:tc>
          <w:tcPr>
            <w:tcW w:w="454" w:type="dxa"/>
          </w:tcPr>
          <w:p w:rsidR="005A1E86" w:rsidRDefault="005A1E86">
            <w:pPr>
              <w:pStyle w:val="ConsPlusNormal"/>
              <w:jc w:val="center"/>
            </w:pPr>
            <w:r>
              <w:t>1</w:t>
            </w:r>
          </w:p>
        </w:tc>
        <w:tc>
          <w:tcPr>
            <w:tcW w:w="5443" w:type="dxa"/>
          </w:tcPr>
          <w:p w:rsidR="005A1E86" w:rsidRDefault="005A1E86">
            <w:pPr>
              <w:pStyle w:val="ConsPlusNormal"/>
            </w:pPr>
            <w:r>
              <w:t>Стандартизированная тарифная ставка (С</w:t>
            </w:r>
            <w:proofErr w:type="gramStart"/>
            <w:r>
              <w:t>7</w:t>
            </w:r>
            <w:proofErr w:type="gramEnd"/>
            <w:r>
              <w:t>), руб./м</w:t>
            </w:r>
            <w:r>
              <w:rPr>
                <w:vertAlign w:val="superscript"/>
              </w:rPr>
              <w:t>3</w:t>
            </w:r>
            <w:r>
              <w:t xml:space="preserve"> (без учета НДС)</w:t>
            </w:r>
          </w:p>
        </w:tc>
        <w:tc>
          <w:tcPr>
            <w:tcW w:w="1417" w:type="dxa"/>
          </w:tcPr>
          <w:p w:rsidR="005A1E86" w:rsidRDefault="005A1E86">
            <w:pPr>
              <w:pStyle w:val="ConsPlusNormal"/>
              <w:jc w:val="center"/>
            </w:pPr>
            <w:r>
              <w:t>959,05</w:t>
            </w:r>
          </w:p>
        </w:tc>
      </w:tr>
    </w:tbl>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right"/>
        <w:outlineLvl w:val="0"/>
      </w:pPr>
      <w:r>
        <w:t>Приложение 6</w:t>
      </w:r>
    </w:p>
    <w:p w:rsidR="005A1E86" w:rsidRDefault="005A1E86">
      <w:pPr>
        <w:pStyle w:val="ConsPlusNormal"/>
        <w:jc w:val="right"/>
      </w:pPr>
      <w:r>
        <w:t>к Постановлению</w:t>
      </w:r>
    </w:p>
    <w:p w:rsidR="005A1E86" w:rsidRDefault="005A1E86">
      <w:pPr>
        <w:pStyle w:val="ConsPlusNormal"/>
        <w:jc w:val="right"/>
      </w:pPr>
      <w:r>
        <w:t>РСТ Пермского края</w:t>
      </w:r>
    </w:p>
    <w:p w:rsidR="005A1E86" w:rsidRDefault="005A1E86">
      <w:pPr>
        <w:pStyle w:val="ConsPlusNormal"/>
        <w:jc w:val="right"/>
      </w:pPr>
      <w:r>
        <w:t>от 28.12.2016 N 138-тп</w:t>
      </w:r>
    </w:p>
    <w:p w:rsidR="005A1E86" w:rsidRDefault="005A1E86">
      <w:pPr>
        <w:pStyle w:val="ConsPlusNormal"/>
        <w:jc w:val="both"/>
      </w:pPr>
    </w:p>
    <w:p w:rsidR="005A1E86" w:rsidRDefault="005A1E86">
      <w:pPr>
        <w:pStyle w:val="ConsPlusNormal"/>
        <w:pBdr>
          <w:top w:val="single" w:sz="6" w:space="0" w:color="auto"/>
        </w:pBdr>
        <w:spacing w:before="100" w:after="100"/>
        <w:jc w:val="both"/>
        <w:rPr>
          <w:sz w:val="2"/>
          <w:szCs w:val="2"/>
        </w:rPr>
      </w:pPr>
    </w:p>
    <w:p w:rsidR="005A1E86" w:rsidRDefault="005A1E86">
      <w:pPr>
        <w:pStyle w:val="ConsPlusNormal"/>
        <w:ind w:firstLine="540"/>
        <w:jc w:val="both"/>
      </w:pPr>
      <w:r>
        <w:t xml:space="preserve">Стандартизированные тарифные ставки </w:t>
      </w:r>
      <w:hyperlink w:anchor="P13" w:history="1">
        <w:r>
          <w:rPr>
            <w:color w:val="0000FF"/>
          </w:rPr>
          <w:t>действуют</w:t>
        </w:r>
      </w:hyperlink>
      <w:r>
        <w:t xml:space="preserve"> с 1 января 2017 года по 31 декабря 2017 года.</w:t>
      </w:r>
    </w:p>
    <w:p w:rsidR="005A1E86" w:rsidRDefault="005A1E86">
      <w:pPr>
        <w:pStyle w:val="ConsPlusNormal"/>
        <w:pBdr>
          <w:top w:val="single" w:sz="6" w:space="0" w:color="auto"/>
        </w:pBdr>
        <w:spacing w:before="100" w:after="100"/>
        <w:jc w:val="both"/>
        <w:rPr>
          <w:sz w:val="2"/>
          <w:szCs w:val="2"/>
        </w:rPr>
      </w:pPr>
    </w:p>
    <w:p w:rsidR="005A1E86" w:rsidRDefault="005A1E86">
      <w:pPr>
        <w:pStyle w:val="ConsPlusTitle"/>
        <w:jc w:val="center"/>
      </w:pPr>
      <w:bookmarkStart w:id="6" w:name="P292"/>
      <w:bookmarkEnd w:id="6"/>
      <w:r>
        <w:t>СТАНДАРТИЗИРОВАННЫЕ ТАРИФНЫЕ СТАВКИ</w:t>
      </w:r>
    </w:p>
    <w:p w:rsidR="005A1E86" w:rsidRDefault="005A1E86">
      <w:pPr>
        <w:pStyle w:val="ConsPlusTitle"/>
        <w:jc w:val="center"/>
      </w:pPr>
      <w:r>
        <w:t>НА ПОКРЫТИЕ РАСХОДОВ АКЦИОНЕРНОГО ОБЩЕСТВА "ГАЗПРОМ</w:t>
      </w:r>
    </w:p>
    <w:p w:rsidR="005A1E86" w:rsidRDefault="005A1E86">
      <w:pPr>
        <w:pStyle w:val="ConsPlusTitle"/>
        <w:jc w:val="center"/>
      </w:pPr>
      <w:r>
        <w:t xml:space="preserve">ГАЗОРАСПРЕДЕЛЕНИЕ ПЕРМЬ", </w:t>
      </w:r>
      <w:proofErr w:type="gramStart"/>
      <w:r>
        <w:t>СВЯЗАННЫХ</w:t>
      </w:r>
      <w:proofErr w:type="gramEnd"/>
      <w:r>
        <w:t xml:space="preserve"> С ПРОВЕРКОЙ ВЫПОЛНЕНИЯ</w:t>
      </w:r>
    </w:p>
    <w:p w:rsidR="005A1E86" w:rsidRDefault="005A1E86">
      <w:pPr>
        <w:pStyle w:val="ConsPlusTitle"/>
        <w:jc w:val="center"/>
      </w:pPr>
      <w:r>
        <w:t xml:space="preserve">ЗАЯВИТЕЛЕМ ТЕХНИЧЕСКИХ УСЛОВИЙ И ОСУЩЕСТВЛЕНИЕМ </w:t>
      </w:r>
      <w:proofErr w:type="gramStart"/>
      <w:r>
        <w:t>ФАКТИЧЕСКОГО</w:t>
      </w:r>
      <w:proofErr w:type="gramEnd"/>
    </w:p>
    <w:p w:rsidR="005A1E86" w:rsidRDefault="005A1E86">
      <w:pPr>
        <w:pStyle w:val="ConsPlusTitle"/>
        <w:jc w:val="center"/>
      </w:pPr>
      <w:r>
        <w:t>ПОДКЛЮЧЕНИЯ (ТЕХНОЛОГИЧЕСКОГО ПРИСОЕДИНЕНИЯ) ОБЪЕКТОВ</w:t>
      </w:r>
    </w:p>
    <w:p w:rsidR="005A1E86" w:rsidRDefault="005A1E86">
      <w:pPr>
        <w:pStyle w:val="ConsPlusTitle"/>
        <w:jc w:val="center"/>
      </w:pPr>
      <w:r>
        <w:t>КАПИТАЛЬНОГО СТРОИТЕЛЬСТВА ЗАЯВИТЕЛЯ К СЕТИ</w:t>
      </w:r>
    </w:p>
    <w:p w:rsidR="005A1E86" w:rsidRDefault="005A1E86">
      <w:pPr>
        <w:pStyle w:val="ConsPlusTitle"/>
        <w:jc w:val="center"/>
      </w:pPr>
      <w:r>
        <w:t>ГАЗОРАСПРЕДЕЛЕНИЯ</w:t>
      </w:r>
    </w:p>
    <w:p w:rsidR="005A1E86" w:rsidRDefault="005A1E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871"/>
        <w:gridCol w:w="4762"/>
      </w:tblGrid>
      <w:tr w:rsidR="005A1E86">
        <w:tc>
          <w:tcPr>
            <w:tcW w:w="675" w:type="dxa"/>
          </w:tcPr>
          <w:p w:rsidR="005A1E86" w:rsidRDefault="005A1E86">
            <w:pPr>
              <w:pStyle w:val="ConsPlusNormal"/>
              <w:jc w:val="center"/>
            </w:pPr>
            <w:r>
              <w:t>N</w:t>
            </w:r>
          </w:p>
        </w:tc>
        <w:tc>
          <w:tcPr>
            <w:tcW w:w="1871" w:type="dxa"/>
          </w:tcPr>
          <w:p w:rsidR="005A1E86" w:rsidRDefault="005A1E86">
            <w:pPr>
              <w:pStyle w:val="ConsPlusNormal"/>
              <w:jc w:val="center"/>
            </w:pPr>
            <w:r>
              <w:t>Показатели</w:t>
            </w:r>
          </w:p>
        </w:tc>
        <w:tc>
          <w:tcPr>
            <w:tcW w:w="4762" w:type="dxa"/>
          </w:tcPr>
          <w:p w:rsidR="005A1E86" w:rsidRDefault="005A1E86">
            <w:pPr>
              <w:pStyle w:val="ConsPlusNormal"/>
              <w:jc w:val="center"/>
            </w:pPr>
            <w:r>
              <w:t>Стандартизированная тарифная ставка (С8), тыс. руб. (без учета НДС)</w:t>
            </w:r>
          </w:p>
        </w:tc>
      </w:tr>
      <w:tr w:rsidR="005A1E86">
        <w:tc>
          <w:tcPr>
            <w:tcW w:w="675" w:type="dxa"/>
          </w:tcPr>
          <w:p w:rsidR="005A1E86" w:rsidRDefault="005A1E86">
            <w:pPr>
              <w:pStyle w:val="ConsPlusNormal"/>
              <w:jc w:val="center"/>
            </w:pPr>
            <w:r>
              <w:t>1</w:t>
            </w:r>
          </w:p>
        </w:tc>
        <w:tc>
          <w:tcPr>
            <w:tcW w:w="1871" w:type="dxa"/>
          </w:tcPr>
          <w:p w:rsidR="005A1E86" w:rsidRDefault="005A1E86">
            <w:pPr>
              <w:pStyle w:val="ConsPlusNormal"/>
              <w:jc w:val="center"/>
            </w:pPr>
            <w:r>
              <w:t>2</w:t>
            </w:r>
          </w:p>
        </w:tc>
        <w:tc>
          <w:tcPr>
            <w:tcW w:w="4762" w:type="dxa"/>
            <w:vAlign w:val="center"/>
          </w:tcPr>
          <w:p w:rsidR="005A1E86" w:rsidRDefault="005A1E86">
            <w:pPr>
              <w:pStyle w:val="ConsPlusNormal"/>
              <w:jc w:val="center"/>
            </w:pPr>
            <w:r>
              <w:t>3</w:t>
            </w:r>
          </w:p>
        </w:tc>
      </w:tr>
      <w:tr w:rsidR="005A1E86">
        <w:tc>
          <w:tcPr>
            <w:tcW w:w="675" w:type="dxa"/>
          </w:tcPr>
          <w:p w:rsidR="005A1E86" w:rsidRDefault="005A1E86">
            <w:pPr>
              <w:pStyle w:val="ConsPlusNormal"/>
              <w:jc w:val="center"/>
            </w:pPr>
            <w:r>
              <w:t>1</w:t>
            </w:r>
          </w:p>
        </w:tc>
        <w:tc>
          <w:tcPr>
            <w:tcW w:w="6633" w:type="dxa"/>
            <w:gridSpan w:val="2"/>
          </w:tcPr>
          <w:p w:rsidR="005A1E86" w:rsidRDefault="005A1E86">
            <w:pPr>
              <w:pStyle w:val="ConsPlusNormal"/>
              <w:jc w:val="center"/>
            </w:pPr>
            <w:r>
              <w:t>Стальные газопроводы</w:t>
            </w:r>
          </w:p>
        </w:tc>
      </w:tr>
      <w:tr w:rsidR="005A1E86">
        <w:tc>
          <w:tcPr>
            <w:tcW w:w="675" w:type="dxa"/>
          </w:tcPr>
          <w:p w:rsidR="005A1E86" w:rsidRDefault="005A1E86">
            <w:pPr>
              <w:pStyle w:val="ConsPlusNormal"/>
              <w:jc w:val="center"/>
            </w:pPr>
            <w:r>
              <w:t>1.1</w:t>
            </w:r>
          </w:p>
        </w:tc>
        <w:tc>
          <w:tcPr>
            <w:tcW w:w="1871" w:type="dxa"/>
          </w:tcPr>
          <w:p w:rsidR="005A1E86" w:rsidRDefault="005A1E86">
            <w:pPr>
              <w:pStyle w:val="ConsPlusNormal"/>
            </w:pPr>
            <w:r>
              <w:t>158 мм и менее</w:t>
            </w:r>
          </w:p>
        </w:tc>
        <w:tc>
          <w:tcPr>
            <w:tcW w:w="4762" w:type="dxa"/>
            <w:vAlign w:val="center"/>
          </w:tcPr>
          <w:p w:rsidR="005A1E86" w:rsidRDefault="005A1E86">
            <w:pPr>
              <w:pStyle w:val="ConsPlusNormal"/>
              <w:jc w:val="center"/>
            </w:pPr>
            <w:r>
              <w:t>8,26</w:t>
            </w:r>
          </w:p>
        </w:tc>
      </w:tr>
      <w:tr w:rsidR="005A1E86">
        <w:tc>
          <w:tcPr>
            <w:tcW w:w="675" w:type="dxa"/>
          </w:tcPr>
          <w:p w:rsidR="005A1E86" w:rsidRDefault="005A1E86">
            <w:pPr>
              <w:pStyle w:val="ConsPlusNormal"/>
              <w:jc w:val="center"/>
            </w:pPr>
            <w:r>
              <w:t>1.2</w:t>
            </w:r>
          </w:p>
        </w:tc>
        <w:tc>
          <w:tcPr>
            <w:tcW w:w="1871" w:type="dxa"/>
          </w:tcPr>
          <w:p w:rsidR="005A1E86" w:rsidRDefault="005A1E86">
            <w:pPr>
              <w:pStyle w:val="ConsPlusNormal"/>
            </w:pPr>
            <w:r>
              <w:t>159-218 мм</w:t>
            </w:r>
          </w:p>
        </w:tc>
        <w:tc>
          <w:tcPr>
            <w:tcW w:w="4762" w:type="dxa"/>
            <w:vAlign w:val="center"/>
          </w:tcPr>
          <w:p w:rsidR="005A1E86" w:rsidRDefault="005A1E86">
            <w:pPr>
              <w:pStyle w:val="ConsPlusNormal"/>
              <w:jc w:val="center"/>
            </w:pPr>
            <w:r>
              <w:t>8,54</w:t>
            </w:r>
          </w:p>
        </w:tc>
      </w:tr>
      <w:tr w:rsidR="005A1E86">
        <w:tc>
          <w:tcPr>
            <w:tcW w:w="675" w:type="dxa"/>
          </w:tcPr>
          <w:p w:rsidR="005A1E86" w:rsidRDefault="005A1E86">
            <w:pPr>
              <w:pStyle w:val="ConsPlusNormal"/>
              <w:jc w:val="center"/>
            </w:pPr>
            <w:r>
              <w:t>1.3</w:t>
            </w:r>
          </w:p>
        </w:tc>
        <w:tc>
          <w:tcPr>
            <w:tcW w:w="1871" w:type="dxa"/>
          </w:tcPr>
          <w:p w:rsidR="005A1E86" w:rsidRDefault="005A1E86">
            <w:pPr>
              <w:pStyle w:val="ConsPlusNormal"/>
            </w:pPr>
            <w:r>
              <w:t>219-272 мм</w:t>
            </w:r>
          </w:p>
        </w:tc>
        <w:tc>
          <w:tcPr>
            <w:tcW w:w="4762" w:type="dxa"/>
            <w:vAlign w:val="center"/>
          </w:tcPr>
          <w:p w:rsidR="005A1E86" w:rsidRDefault="005A1E86">
            <w:pPr>
              <w:pStyle w:val="ConsPlusNormal"/>
              <w:jc w:val="center"/>
            </w:pPr>
            <w:r>
              <w:t>23,70</w:t>
            </w:r>
          </w:p>
        </w:tc>
      </w:tr>
      <w:tr w:rsidR="005A1E86">
        <w:tc>
          <w:tcPr>
            <w:tcW w:w="675" w:type="dxa"/>
          </w:tcPr>
          <w:p w:rsidR="005A1E86" w:rsidRDefault="005A1E86">
            <w:pPr>
              <w:pStyle w:val="ConsPlusNormal"/>
              <w:jc w:val="center"/>
            </w:pPr>
            <w:r>
              <w:lastRenderedPageBreak/>
              <w:t>1.4</w:t>
            </w:r>
          </w:p>
        </w:tc>
        <w:tc>
          <w:tcPr>
            <w:tcW w:w="1871" w:type="dxa"/>
          </w:tcPr>
          <w:p w:rsidR="005A1E86" w:rsidRDefault="005A1E86">
            <w:pPr>
              <w:pStyle w:val="ConsPlusNormal"/>
            </w:pPr>
            <w:r>
              <w:t>273-324 мм</w:t>
            </w:r>
          </w:p>
        </w:tc>
        <w:tc>
          <w:tcPr>
            <w:tcW w:w="4762" w:type="dxa"/>
            <w:vAlign w:val="center"/>
          </w:tcPr>
          <w:p w:rsidR="005A1E86" w:rsidRDefault="005A1E86">
            <w:pPr>
              <w:pStyle w:val="ConsPlusNormal"/>
              <w:jc w:val="center"/>
            </w:pPr>
            <w:r>
              <w:t>24,09</w:t>
            </w:r>
          </w:p>
        </w:tc>
      </w:tr>
      <w:tr w:rsidR="005A1E86">
        <w:tc>
          <w:tcPr>
            <w:tcW w:w="675" w:type="dxa"/>
          </w:tcPr>
          <w:p w:rsidR="005A1E86" w:rsidRDefault="005A1E86">
            <w:pPr>
              <w:pStyle w:val="ConsPlusNormal"/>
              <w:jc w:val="center"/>
            </w:pPr>
            <w:r>
              <w:t>1.5</w:t>
            </w:r>
          </w:p>
        </w:tc>
        <w:tc>
          <w:tcPr>
            <w:tcW w:w="1871" w:type="dxa"/>
          </w:tcPr>
          <w:p w:rsidR="005A1E86" w:rsidRDefault="005A1E86">
            <w:pPr>
              <w:pStyle w:val="ConsPlusNormal"/>
            </w:pPr>
            <w:r>
              <w:t>325-425 мм</w:t>
            </w:r>
          </w:p>
        </w:tc>
        <w:tc>
          <w:tcPr>
            <w:tcW w:w="4762" w:type="dxa"/>
            <w:vAlign w:val="center"/>
          </w:tcPr>
          <w:p w:rsidR="005A1E86" w:rsidRDefault="005A1E86">
            <w:pPr>
              <w:pStyle w:val="ConsPlusNormal"/>
              <w:jc w:val="center"/>
            </w:pPr>
            <w:r>
              <w:t>30,42</w:t>
            </w:r>
          </w:p>
        </w:tc>
      </w:tr>
      <w:tr w:rsidR="005A1E86">
        <w:tc>
          <w:tcPr>
            <w:tcW w:w="675" w:type="dxa"/>
          </w:tcPr>
          <w:p w:rsidR="005A1E86" w:rsidRDefault="005A1E86">
            <w:pPr>
              <w:pStyle w:val="ConsPlusNormal"/>
              <w:jc w:val="center"/>
            </w:pPr>
            <w:r>
              <w:t>1.6</w:t>
            </w:r>
          </w:p>
        </w:tc>
        <w:tc>
          <w:tcPr>
            <w:tcW w:w="1871" w:type="dxa"/>
          </w:tcPr>
          <w:p w:rsidR="005A1E86" w:rsidRDefault="005A1E86">
            <w:pPr>
              <w:pStyle w:val="ConsPlusNormal"/>
            </w:pPr>
            <w:r>
              <w:t>426-529 мм</w:t>
            </w:r>
          </w:p>
        </w:tc>
        <w:tc>
          <w:tcPr>
            <w:tcW w:w="4762" w:type="dxa"/>
            <w:vAlign w:val="center"/>
          </w:tcPr>
          <w:p w:rsidR="005A1E86" w:rsidRDefault="005A1E86">
            <w:pPr>
              <w:pStyle w:val="ConsPlusNormal"/>
              <w:jc w:val="center"/>
            </w:pPr>
            <w:r>
              <w:t>30,70</w:t>
            </w:r>
          </w:p>
        </w:tc>
      </w:tr>
      <w:tr w:rsidR="005A1E86">
        <w:tc>
          <w:tcPr>
            <w:tcW w:w="675" w:type="dxa"/>
          </w:tcPr>
          <w:p w:rsidR="005A1E86" w:rsidRDefault="005A1E86">
            <w:pPr>
              <w:pStyle w:val="ConsPlusNormal"/>
              <w:jc w:val="center"/>
            </w:pPr>
            <w:r>
              <w:t>1.7</w:t>
            </w:r>
          </w:p>
        </w:tc>
        <w:tc>
          <w:tcPr>
            <w:tcW w:w="1871" w:type="dxa"/>
          </w:tcPr>
          <w:p w:rsidR="005A1E86" w:rsidRDefault="005A1E86">
            <w:pPr>
              <w:pStyle w:val="ConsPlusNormal"/>
            </w:pPr>
            <w:r>
              <w:t>530 мм и выше</w:t>
            </w:r>
          </w:p>
        </w:tc>
        <w:tc>
          <w:tcPr>
            <w:tcW w:w="4762" w:type="dxa"/>
            <w:vAlign w:val="center"/>
          </w:tcPr>
          <w:p w:rsidR="005A1E86" w:rsidRDefault="005A1E86">
            <w:pPr>
              <w:pStyle w:val="ConsPlusNormal"/>
              <w:jc w:val="center"/>
            </w:pPr>
            <w:r>
              <w:t>30,98</w:t>
            </w:r>
          </w:p>
        </w:tc>
      </w:tr>
      <w:tr w:rsidR="005A1E86">
        <w:tc>
          <w:tcPr>
            <w:tcW w:w="675" w:type="dxa"/>
          </w:tcPr>
          <w:p w:rsidR="005A1E86" w:rsidRDefault="005A1E86">
            <w:pPr>
              <w:pStyle w:val="ConsPlusNormal"/>
              <w:jc w:val="center"/>
            </w:pPr>
            <w:r>
              <w:t>2</w:t>
            </w:r>
          </w:p>
        </w:tc>
        <w:tc>
          <w:tcPr>
            <w:tcW w:w="6633" w:type="dxa"/>
            <w:gridSpan w:val="2"/>
          </w:tcPr>
          <w:p w:rsidR="005A1E86" w:rsidRDefault="005A1E86">
            <w:pPr>
              <w:pStyle w:val="ConsPlusNormal"/>
              <w:jc w:val="center"/>
            </w:pPr>
            <w:r>
              <w:t>Полиэтиленовые газопроводы</w:t>
            </w:r>
          </w:p>
        </w:tc>
      </w:tr>
      <w:tr w:rsidR="005A1E86">
        <w:tc>
          <w:tcPr>
            <w:tcW w:w="675" w:type="dxa"/>
          </w:tcPr>
          <w:p w:rsidR="005A1E86" w:rsidRDefault="005A1E86">
            <w:pPr>
              <w:pStyle w:val="ConsPlusNormal"/>
              <w:jc w:val="center"/>
            </w:pPr>
            <w:r>
              <w:t>2.1</w:t>
            </w:r>
          </w:p>
        </w:tc>
        <w:tc>
          <w:tcPr>
            <w:tcW w:w="1871" w:type="dxa"/>
          </w:tcPr>
          <w:p w:rsidR="005A1E86" w:rsidRDefault="005A1E86">
            <w:pPr>
              <w:pStyle w:val="ConsPlusNormal"/>
            </w:pPr>
            <w:r>
              <w:t>109 мм и менее</w:t>
            </w:r>
          </w:p>
        </w:tc>
        <w:tc>
          <w:tcPr>
            <w:tcW w:w="4762" w:type="dxa"/>
            <w:vAlign w:val="center"/>
          </w:tcPr>
          <w:p w:rsidR="005A1E86" w:rsidRDefault="005A1E86">
            <w:pPr>
              <w:pStyle w:val="ConsPlusNormal"/>
              <w:jc w:val="center"/>
            </w:pPr>
            <w:r>
              <w:t>7,14</w:t>
            </w:r>
          </w:p>
        </w:tc>
      </w:tr>
      <w:tr w:rsidR="005A1E86">
        <w:tc>
          <w:tcPr>
            <w:tcW w:w="675" w:type="dxa"/>
          </w:tcPr>
          <w:p w:rsidR="005A1E86" w:rsidRDefault="005A1E86">
            <w:pPr>
              <w:pStyle w:val="ConsPlusNormal"/>
              <w:jc w:val="center"/>
            </w:pPr>
            <w:r>
              <w:t>2.2</w:t>
            </w:r>
          </w:p>
        </w:tc>
        <w:tc>
          <w:tcPr>
            <w:tcW w:w="1871" w:type="dxa"/>
          </w:tcPr>
          <w:p w:rsidR="005A1E86" w:rsidRDefault="005A1E86">
            <w:pPr>
              <w:pStyle w:val="ConsPlusNormal"/>
            </w:pPr>
            <w:r>
              <w:t>110-159 мм</w:t>
            </w:r>
          </w:p>
        </w:tc>
        <w:tc>
          <w:tcPr>
            <w:tcW w:w="4762" w:type="dxa"/>
            <w:vAlign w:val="center"/>
          </w:tcPr>
          <w:p w:rsidR="005A1E86" w:rsidRDefault="005A1E86">
            <w:pPr>
              <w:pStyle w:val="ConsPlusNormal"/>
              <w:jc w:val="center"/>
            </w:pPr>
            <w:r>
              <w:t>7,14</w:t>
            </w:r>
          </w:p>
        </w:tc>
      </w:tr>
      <w:tr w:rsidR="005A1E86">
        <w:tc>
          <w:tcPr>
            <w:tcW w:w="675" w:type="dxa"/>
          </w:tcPr>
          <w:p w:rsidR="005A1E86" w:rsidRDefault="005A1E86">
            <w:pPr>
              <w:pStyle w:val="ConsPlusNormal"/>
              <w:jc w:val="center"/>
            </w:pPr>
            <w:r>
              <w:t>2.3</w:t>
            </w:r>
          </w:p>
        </w:tc>
        <w:tc>
          <w:tcPr>
            <w:tcW w:w="1871" w:type="dxa"/>
          </w:tcPr>
          <w:p w:rsidR="005A1E86" w:rsidRDefault="005A1E86">
            <w:pPr>
              <w:pStyle w:val="ConsPlusNormal"/>
            </w:pPr>
            <w:r>
              <w:t>160-224 мм</w:t>
            </w:r>
          </w:p>
        </w:tc>
        <w:tc>
          <w:tcPr>
            <w:tcW w:w="4762" w:type="dxa"/>
            <w:vAlign w:val="center"/>
          </w:tcPr>
          <w:p w:rsidR="005A1E86" w:rsidRDefault="005A1E86">
            <w:pPr>
              <w:pStyle w:val="ConsPlusNormal"/>
              <w:jc w:val="center"/>
            </w:pPr>
            <w:r>
              <w:t>7,14</w:t>
            </w:r>
          </w:p>
        </w:tc>
      </w:tr>
      <w:tr w:rsidR="005A1E86">
        <w:tc>
          <w:tcPr>
            <w:tcW w:w="675" w:type="dxa"/>
          </w:tcPr>
          <w:p w:rsidR="005A1E86" w:rsidRDefault="005A1E86">
            <w:pPr>
              <w:pStyle w:val="ConsPlusNormal"/>
              <w:jc w:val="center"/>
            </w:pPr>
            <w:r>
              <w:t>2.4</w:t>
            </w:r>
          </w:p>
        </w:tc>
        <w:tc>
          <w:tcPr>
            <w:tcW w:w="1871" w:type="dxa"/>
          </w:tcPr>
          <w:p w:rsidR="005A1E86" w:rsidRDefault="005A1E86">
            <w:pPr>
              <w:pStyle w:val="ConsPlusNormal"/>
            </w:pPr>
            <w:r>
              <w:t>225-314 мм</w:t>
            </w:r>
          </w:p>
        </w:tc>
        <w:tc>
          <w:tcPr>
            <w:tcW w:w="4762" w:type="dxa"/>
            <w:vAlign w:val="center"/>
          </w:tcPr>
          <w:p w:rsidR="005A1E86" w:rsidRDefault="005A1E86">
            <w:pPr>
              <w:pStyle w:val="ConsPlusNormal"/>
              <w:jc w:val="center"/>
            </w:pPr>
            <w:r>
              <w:t>22,02</w:t>
            </w:r>
          </w:p>
        </w:tc>
      </w:tr>
      <w:tr w:rsidR="005A1E86">
        <w:tc>
          <w:tcPr>
            <w:tcW w:w="675" w:type="dxa"/>
          </w:tcPr>
          <w:p w:rsidR="005A1E86" w:rsidRDefault="005A1E86">
            <w:pPr>
              <w:pStyle w:val="ConsPlusNormal"/>
              <w:jc w:val="center"/>
            </w:pPr>
            <w:r>
              <w:t>2.5</w:t>
            </w:r>
          </w:p>
        </w:tc>
        <w:tc>
          <w:tcPr>
            <w:tcW w:w="1871" w:type="dxa"/>
          </w:tcPr>
          <w:p w:rsidR="005A1E86" w:rsidRDefault="005A1E86">
            <w:pPr>
              <w:pStyle w:val="ConsPlusNormal"/>
            </w:pPr>
            <w:r>
              <w:t>315-399 мм</w:t>
            </w:r>
          </w:p>
        </w:tc>
        <w:tc>
          <w:tcPr>
            <w:tcW w:w="4762" w:type="dxa"/>
            <w:vAlign w:val="center"/>
          </w:tcPr>
          <w:p w:rsidR="005A1E86" w:rsidRDefault="005A1E86">
            <w:pPr>
              <w:pStyle w:val="ConsPlusNormal"/>
              <w:jc w:val="center"/>
            </w:pPr>
            <w:r>
              <w:t>28,45</w:t>
            </w:r>
          </w:p>
        </w:tc>
      </w:tr>
      <w:tr w:rsidR="005A1E86">
        <w:tc>
          <w:tcPr>
            <w:tcW w:w="675" w:type="dxa"/>
          </w:tcPr>
          <w:p w:rsidR="005A1E86" w:rsidRDefault="005A1E86">
            <w:pPr>
              <w:pStyle w:val="ConsPlusNormal"/>
              <w:jc w:val="center"/>
            </w:pPr>
            <w:r>
              <w:t>2.6</w:t>
            </w:r>
          </w:p>
        </w:tc>
        <w:tc>
          <w:tcPr>
            <w:tcW w:w="1871" w:type="dxa"/>
          </w:tcPr>
          <w:p w:rsidR="005A1E86" w:rsidRDefault="005A1E86">
            <w:pPr>
              <w:pStyle w:val="ConsPlusNormal"/>
            </w:pPr>
            <w:r>
              <w:t>400 мм и выше</w:t>
            </w:r>
          </w:p>
        </w:tc>
        <w:tc>
          <w:tcPr>
            <w:tcW w:w="4762" w:type="dxa"/>
            <w:vAlign w:val="center"/>
          </w:tcPr>
          <w:p w:rsidR="005A1E86" w:rsidRDefault="005A1E86">
            <w:pPr>
              <w:pStyle w:val="ConsPlusNormal"/>
              <w:jc w:val="center"/>
            </w:pPr>
            <w:r>
              <w:t>28,45</w:t>
            </w:r>
          </w:p>
        </w:tc>
      </w:tr>
    </w:tbl>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both"/>
      </w:pPr>
    </w:p>
    <w:p w:rsidR="005A1E86" w:rsidRDefault="005A1E86">
      <w:pPr>
        <w:pStyle w:val="ConsPlusNormal"/>
        <w:jc w:val="right"/>
        <w:outlineLvl w:val="0"/>
      </w:pPr>
      <w:r>
        <w:t>Приложение 7</w:t>
      </w:r>
    </w:p>
    <w:p w:rsidR="005A1E86" w:rsidRDefault="005A1E86">
      <w:pPr>
        <w:pStyle w:val="ConsPlusNormal"/>
        <w:jc w:val="right"/>
      </w:pPr>
      <w:r>
        <w:t>к Постановлению</w:t>
      </w:r>
    </w:p>
    <w:p w:rsidR="005A1E86" w:rsidRDefault="005A1E86">
      <w:pPr>
        <w:pStyle w:val="ConsPlusNormal"/>
        <w:jc w:val="right"/>
      </w:pPr>
      <w:r>
        <w:t>РСТ Пермского края</w:t>
      </w:r>
    </w:p>
    <w:p w:rsidR="005A1E86" w:rsidRDefault="005A1E86">
      <w:pPr>
        <w:pStyle w:val="ConsPlusNormal"/>
        <w:jc w:val="right"/>
      </w:pPr>
      <w:r>
        <w:t>от 28.12.2016 N 138-тп</w:t>
      </w:r>
    </w:p>
    <w:p w:rsidR="005A1E86" w:rsidRDefault="005A1E86">
      <w:pPr>
        <w:pStyle w:val="ConsPlusNormal"/>
        <w:jc w:val="both"/>
      </w:pPr>
    </w:p>
    <w:p w:rsidR="005A1E86" w:rsidRDefault="005A1E86">
      <w:pPr>
        <w:pStyle w:val="ConsPlusTitle"/>
        <w:jc w:val="center"/>
      </w:pPr>
      <w:bookmarkStart w:id="7" w:name="P359"/>
      <w:bookmarkEnd w:id="7"/>
      <w:r>
        <w:t xml:space="preserve">ФОРМУЛА ДЛЯ РАСЧЕТА ПЛАТЫ ЗА </w:t>
      </w:r>
      <w:proofErr w:type="gramStart"/>
      <w:r>
        <w:t>ТЕХНОЛОГИЧЕСКОЕ</w:t>
      </w:r>
      <w:proofErr w:type="gramEnd"/>
    </w:p>
    <w:p w:rsidR="005A1E86" w:rsidRDefault="005A1E86">
      <w:pPr>
        <w:pStyle w:val="ConsPlusTitle"/>
        <w:jc w:val="center"/>
      </w:pPr>
      <w:r>
        <w:t xml:space="preserve">ПРИСОЕДИНЕНИЕ НА ОСНОВАНИИ </w:t>
      </w:r>
      <w:proofErr w:type="gramStart"/>
      <w:r>
        <w:t>УТВЕРЖДЕННЫХ</w:t>
      </w:r>
      <w:proofErr w:type="gramEnd"/>
      <w:r>
        <w:t xml:space="preserve"> СТАНДАРТИЗИРОВАННЫХ</w:t>
      </w:r>
    </w:p>
    <w:p w:rsidR="005A1E86" w:rsidRDefault="005A1E86">
      <w:pPr>
        <w:pStyle w:val="ConsPlusTitle"/>
        <w:jc w:val="center"/>
      </w:pPr>
      <w:r>
        <w:t>ТАРИФНЫХ СТАВОК</w:t>
      </w:r>
    </w:p>
    <w:p w:rsidR="005A1E86" w:rsidRDefault="005A1E86">
      <w:pPr>
        <w:pStyle w:val="ConsPlusNormal"/>
        <w:jc w:val="both"/>
      </w:pPr>
    </w:p>
    <w:p w:rsidR="005A1E86" w:rsidRDefault="005A1E86">
      <w:pPr>
        <w:pStyle w:val="ConsPlusNormal"/>
        <w:ind w:firstLine="540"/>
        <w:jc w:val="both"/>
      </w:pPr>
      <w:r>
        <w:t>1.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более 150 метров, определяется по следующей формуле:</w:t>
      </w:r>
    </w:p>
    <w:p w:rsidR="005A1E86" w:rsidRDefault="005A1E86">
      <w:pPr>
        <w:pStyle w:val="ConsPlusNormal"/>
        <w:jc w:val="both"/>
      </w:pPr>
    </w:p>
    <w:p w:rsidR="005A1E86" w:rsidRDefault="005A1E86">
      <w:pPr>
        <w:pStyle w:val="ConsPlusNormal"/>
        <w:jc w:val="center"/>
      </w:pPr>
      <w:r w:rsidRPr="00C75C13">
        <w:rPr>
          <w:position w:val="-70"/>
        </w:rPr>
        <w:pict>
          <v:shape id="_x0000_i1025" style="width:261pt;height:83.4pt" coordsize="" o:spt="100" adj="0,,0" path="" filled="f" stroked="f">
            <v:stroke joinstyle="miter"/>
            <v:imagedata r:id="rId12" o:title="base_23920_101781_3"/>
            <v:formulas/>
            <v:path o:connecttype="segments"/>
          </v:shape>
        </w:pict>
      </w:r>
    </w:p>
    <w:p w:rsidR="005A1E86" w:rsidRDefault="005A1E86">
      <w:pPr>
        <w:pStyle w:val="ConsPlusNormal"/>
        <w:jc w:val="both"/>
      </w:pPr>
    </w:p>
    <w:p w:rsidR="005A1E86" w:rsidRDefault="005A1E86">
      <w:pPr>
        <w:pStyle w:val="ConsPlusNormal"/>
        <w:ind w:firstLine="540"/>
        <w:jc w:val="both"/>
      </w:pPr>
      <w:r>
        <w:t>где</w:t>
      </w:r>
    </w:p>
    <w:p w:rsidR="005A1E86" w:rsidRDefault="005A1E86">
      <w:pPr>
        <w:pStyle w:val="ConsPlusNormal"/>
        <w:ind w:firstLine="540"/>
        <w:jc w:val="both"/>
      </w:pPr>
      <w:proofErr w:type="spellStart"/>
      <w:r>
        <w:t>V</w:t>
      </w:r>
      <w:r>
        <w:rPr>
          <w:vertAlign w:val="subscript"/>
        </w:rPr>
        <w:t>з</w:t>
      </w:r>
      <w:proofErr w:type="spellEnd"/>
      <w:r>
        <w:t xml:space="preserve"> - максимальный часовой расход газа газоиспользующего оборудования Заявителя в соответствии с техническими условиями без учета расхода газа, ранее подключенного в рассматриваемо</w:t>
      </w:r>
      <w:proofErr w:type="gramStart"/>
      <w:r>
        <w:t>й(</w:t>
      </w:r>
      <w:proofErr w:type="gramEnd"/>
      <w:r>
        <w:t>-ых) точке(-ах) подключения газоиспользующего оборудования Заявителя (м3);</w:t>
      </w:r>
    </w:p>
    <w:p w:rsidR="005A1E86" w:rsidRDefault="005A1E86">
      <w:pPr>
        <w:pStyle w:val="ConsPlusNormal"/>
        <w:ind w:firstLine="540"/>
        <w:jc w:val="both"/>
      </w:pPr>
      <w:proofErr w:type="spellStart"/>
      <w:r>
        <w:t>l</w:t>
      </w:r>
      <w:r>
        <w:rPr>
          <w:vertAlign w:val="subscript"/>
        </w:rPr>
        <w:t>зij</w:t>
      </w:r>
      <w:proofErr w:type="spellEnd"/>
      <w:r>
        <w:t xml:space="preserve"> - протяженность строящегося стального газопровода i-</w:t>
      </w:r>
      <w:proofErr w:type="spellStart"/>
      <w:r>
        <w:t>го</w:t>
      </w:r>
      <w:proofErr w:type="spellEnd"/>
      <w:r>
        <w:t xml:space="preserve"> диапазона диаметров и j-типа способа прокладки (</w:t>
      </w:r>
      <w:proofErr w:type="gramStart"/>
      <w:r>
        <w:t>км</w:t>
      </w:r>
      <w:proofErr w:type="gramEnd"/>
      <w:r>
        <w:t>);</w:t>
      </w:r>
    </w:p>
    <w:p w:rsidR="005A1E86" w:rsidRDefault="005A1E86">
      <w:pPr>
        <w:pStyle w:val="ConsPlusNormal"/>
        <w:ind w:firstLine="540"/>
        <w:jc w:val="both"/>
      </w:pPr>
      <w:proofErr w:type="spellStart"/>
      <w:r>
        <w:t>l</w:t>
      </w:r>
      <w:r>
        <w:rPr>
          <w:vertAlign w:val="subscript"/>
        </w:rPr>
        <w:t>зk</w:t>
      </w:r>
      <w:proofErr w:type="spellEnd"/>
      <w:r>
        <w:t xml:space="preserve"> - протяженность строящегося полиэтиленового газопровода k-</w:t>
      </w:r>
      <w:proofErr w:type="spellStart"/>
      <w:r>
        <w:t>го</w:t>
      </w:r>
      <w:proofErr w:type="spellEnd"/>
      <w:r>
        <w:t xml:space="preserve"> диапазона диаметров (</w:t>
      </w:r>
      <w:proofErr w:type="gramStart"/>
      <w:r>
        <w:t>км</w:t>
      </w:r>
      <w:proofErr w:type="gramEnd"/>
      <w:r>
        <w:t>);</w:t>
      </w:r>
    </w:p>
    <w:p w:rsidR="005A1E86" w:rsidRDefault="005A1E86">
      <w:pPr>
        <w:pStyle w:val="ConsPlusNormal"/>
        <w:ind w:firstLine="540"/>
        <w:jc w:val="both"/>
      </w:pPr>
      <w:proofErr w:type="spellStart"/>
      <w:r>
        <w:t>V</w:t>
      </w:r>
      <w:r>
        <w:rPr>
          <w:vertAlign w:val="subscript"/>
        </w:rPr>
        <w:t>зп</w:t>
      </w:r>
      <w:proofErr w:type="spellEnd"/>
      <w:r>
        <w:t xml:space="preserve"> - максимальный часовой расход газа газоиспользующего оборудования Заявителя, подключаемый с использованием газорегуляторного пункта n-</w:t>
      </w:r>
      <w:proofErr w:type="spellStart"/>
      <w:r>
        <w:t>го</w:t>
      </w:r>
      <w:proofErr w:type="spellEnd"/>
      <w:r>
        <w:t xml:space="preserve"> диапазона максимального часового расхода газа, без учета расхода газа, ранее подключенного в рассматриваемо</w:t>
      </w:r>
      <w:proofErr w:type="gramStart"/>
      <w:r>
        <w:t>й(</w:t>
      </w:r>
      <w:proofErr w:type="gramEnd"/>
      <w:r>
        <w:t>-ых) точке(-ах) подключения газоиспользующего оборудования Заявителя (м3);</w:t>
      </w:r>
    </w:p>
    <w:p w:rsidR="005A1E86" w:rsidRDefault="005A1E86">
      <w:pPr>
        <w:pStyle w:val="ConsPlusNormal"/>
        <w:ind w:firstLine="540"/>
        <w:jc w:val="both"/>
      </w:pPr>
      <w:proofErr w:type="spellStart"/>
      <w:r>
        <w:t>V</w:t>
      </w:r>
      <w:r>
        <w:rPr>
          <w:vertAlign w:val="subscript"/>
        </w:rPr>
        <w:t>зскз</w:t>
      </w:r>
      <w:proofErr w:type="spellEnd"/>
      <w:r>
        <w:t xml:space="preserve"> - максимальный часовой расход газа газоиспользующего оборудования Заявителя, подключаемый с </w:t>
      </w:r>
      <w:r>
        <w:lastRenderedPageBreak/>
        <w:t>использованием станции катодной защиты, без учета расхода газа, ранее подключенного в рассматриваемо</w:t>
      </w:r>
      <w:proofErr w:type="gramStart"/>
      <w:r>
        <w:t>й(</w:t>
      </w:r>
      <w:proofErr w:type="gramEnd"/>
      <w:r>
        <w:t>-ых) точке(-ах) подключения газоиспользующего оборудования Заявителя (м3);</w:t>
      </w:r>
    </w:p>
    <w:p w:rsidR="005A1E86" w:rsidRDefault="005A1E86">
      <w:pPr>
        <w:pStyle w:val="ConsPlusNormal"/>
        <w:ind w:firstLine="540"/>
        <w:jc w:val="both"/>
      </w:pPr>
      <w:proofErr w:type="spellStart"/>
      <w:r>
        <w:t>N</w:t>
      </w:r>
      <w:r>
        <w:rPr>
          <w:vertAlign w:val="subscript"/>
        </w:rPr>
        <w:t>ik</w:t>
      </w:r>
      <w:proofErr w:type="spellEnd"/>
      <w:r>
        <w:t xml:space="preserve"> - количество фактических подключений (технологических присоединений) к стальному газопроводу i-</w:t>
      </w:r>
      <w:proofErr w:type="spellStart"/>
      <w:r>
        <w:t>го</w:t>
      </w:r>
      <w:proofErr w:type="spellEnd"/>
      <w:r>
        <w:t xml:space="preserve"> диапазона диаметров (полиэтиленовому газопроводу k-</w:t>
      </w:r>
      <w:proofErr w:type="spellStart"/>
      <w:r>
        <w:t>го</w:t>
      </w:r>
      <w:proofErr w:type="spellEnd"/>
      <w:r>
        <w:t xml:space="preserve"> диапазона диаметров).</w:t>
      </w:r>
    </w:p>
    <w:p w:rsidR="005A1E86" w:rsidRDefault="005A1E86">
      <w:pPr>
        <w:pStyle w:val="ConsPlusNormal"/>
        <w:ind w:firstLine="540"/>
        <w:jc w:val="both"/>
      </w:pPr>
      <w:r w:rsidRPr="00C75C13">
        <w:rPr>
          <w:position w:val="-12"/>
        </w:rPr>
        <w:pict>
          <v:shape id="_x0000_i1026" style="width:25.8pt;height:20.4pt" coordsize="" o:spt="100" adj="0,,0" path="" filled="f" stroked="f">
            <v:stroke joinstyle="miter"/>
            <v:imagedata r:id="rId13" o:title="base_23920_101781_4"/>
            <v:formulas/>
            <v:path o:connecttype="segments"/>
          </v:shape>
        </w:pict>
      </w:r>
      <w:r>
        <w:t xml:space="preserve"> - индекс изменения сметной стоимости строительно-монтажных работ для субъекта Российской Федерации на месяц, предшествующий месяцу, данные по которым используются для расчета, к территориальным единичным расценкам 2001 года,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5A1E86" w:rsidRDefault="005A1E86">
      <w:pPr>
        <w:pStyle w:val="ConsPlusNormal"/>
        <w:ind w:firstLine="540"/>
        <w:jc w:val="both"/>
      </w:pPr>
      <w:r>
        <w:t>2. Величина платы за технологическое присоединение на основании утвержденных стандартизированных тарифных ставок для случаев,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метров и менее, определяется по следующей формуле:</w:t>
      </w:r>
    </w:p>
    <w:p w:rsidR="005A1E86" w:rsidRDefault="005A1E86">
      <w:pPr>
        <w:pStyle w:val="ConsPlusNormal"/>
        <w:jc w:val="both"/>
      </w:pPr>
    </w:p>
    <w:p w:rsidR="005A1E86" w:rsidRDefault="005A1E86">
      <w:pPr>
        <w:pStyle w:val="ConsPlusNormal"/>
        <w:jc w:val="center"/>
      </w:pPr>
      <w:r w:rsidRPr="00C75C13">
        <w:rPr>
          <w:position w:val="-64"/>
        </w:rPr>
        <w:pict>
          <v:shape id="_x0000_i1027" style="width:230.4pt;height:76.8pt" coordsize="" o:spt="100" adj="0,,0" path="" filled="f" stroked="f">
            <v:stroke joinstyle="miter"/>
            <v:imagedata r:id="rId14" o:title="base_23920_101781_5"/>
            <v:formulas/>
            <v:path o:connecttype="segments"/>
          </v:shape>
        </w:pict>
      </w:r>
    </w:p>
    <w:p w:rsidR="005A1E86" w:rsidRDefault="005A1E86">
      <w:pPr>
        <w:pStyle w:val="ConsPlusNormal"/>
        <w:jc w:val="both"/>
      </w:pPr>
    </w:p>
    <w:p w:rsidR="005A1E86" w:rsidRDefault="005A1E86">
      <w:pPr>
        <w:pStyle w:val="ConsPlusNormal"/>
        <w:ind w:firstLine="540"/>
        <w:jc w:val="both"/>
      </w:pPr>
      <w:r>
        <w:t>--------------------------------</w:t>
      </w:r>
    </w:p>
    <w:p w:rsidR="005A1E86" w:rsidRDefault="005A1E86">
      <w:pPr>
        <w:pStyle w:val="ConsPlusNormal"/>
        <w:ind w:firstLine="540"/>
        <w:jc w:val="both"/>
      </w:pPr>
      <w:proofErr w:type="gramStart"/>
      <w:r>
        <w:t>&lt;*&gt; Величина платы за технологическое присоединение определяется исходя из максимального часового расхода газа газоиспользующего оборудования Заявителя, определяемого в соответствии с договором о подключении, а также состава и технических параметров сетей газораспределения и объектов на них (протяженность, диаметры, материалы и типы прокладки газопроводов, максимальный часовой расход газа газорегуляторных пунктов и установок), строительство (реконструкция) которых предусмотрена проектом газоснабжения, разработанным с учетом схемы газоснабжения</w:t>
      </w:r>
      <w:proofErr w:type="gramEnd"/>
      <w:r>
        <w:t xml:space="preserve"> территории поселения (при наличии).</w:t>
      </w:r>
    </w:p>
    <w:p w:rsidR="005A1E86" w:rsidRDefault="005A1E86">
      <w:pPr>
        <w:pStyle w:val="ConsPlusNormal"/>
        <w:jc w:val="both"/>
      </w:pPr>
    </w:p>
    <w:p w:rsidR="005A1E86" w:rsidRDefault="005A1E86">
      <w:pPr>
        <w:pStyle w:val="ConsPlusNormal"/>
        <w:jc w:val="both"/>
      </w:pPr>
    </w:p>
    <w:p w:rsidR="005A1E86" w:rsidRDefault="005A1E86">
      <w:pPr>
        <w:pStyle w:val="ConsPlusNormal"/>
        <w:pBdr>
          <w:top w:val="single" w:sz="6" w:space="0" w:color="auto"/>
        </w:pBdr>
        <w:spacing w:before="100" w:after="100"/>
        <w:jc w:val="both"/>
        <w:rPr>
          <w:sz w:val="2"/>
          <w:szCs w:val="2"/>
        </w:rPr>
      </w:pPr>
      <w:bookmarkStart w:id="8" w:name="_GoBack"/>
      <w:bookmarkEnd w:id="8"/>
    </w:p>
    <w:p w:rsidR="00EF239C" w:rsidRDefault="00EF239C"/>
    <w:sectPr w:rsidR="00EF239C" w:rsidSect="00B9555F">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86"/>
    <w:rsid w:val="005A1E86"/>
    <w:rsid w:val="00B9555F"/>
    <w:rsid w:val="00EF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1E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1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1E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FE54402C4442492681B168C1E4273EB6AA644FE417ED8C0C83945BAT2J2H" TargetMode="External"/><Relationship Id="rId13"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consultantplus://offline/ref=D6AFE54402C4442492681B168C1E4273E863A945FE467ED8C0C83945BAT2J2H" TargetMode="External"/><Relationship Id="rId12"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AFE54402C4442492681B168C1E4273EB6AA945FC417ED8C0C83945BAT2J2H" TargetMode="External"/><Relationship Id="rId11" Type="http://schemas.openxmlformats.org/officeDocument/2006/relationships/hyperlink" Target="consultantplus://offline/ref=D6AFE54402C444249268051B9A721F78E161FF4AF44D758695976218ED2BFE41B0D418CFBC31B8D5963212T0J6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D6AFE54402C444249268051B9A721F78E161FF4AF54D768F9A976218ED2BFE41TBJ0H" TargetMode="External"/><Relationship Id="rId4" Type="http://schemas.openxmlformats.org/officeDocument/2006/relationships/webSettings" Target="webSettings.xml"/><Relationship Id="rId9" Type="http://schemas.openxmlformats.org/officeDocument/2006/relationships/hyperlink" Target="consultantplus://offline/ref=D6AFE54402C4442492681B168C1E4273E86CA545F5447ED8C0C83945BAT2J2H"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10547</Characters>
  <Application>Microsoft Office Word</Application>
  <DocSecurity>0</DocSecurity>
  <Lines>87</Lines>
  <Paragraphs>24</Paragraphs>
  <ScaleCrop>false</ScaleCrop>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Бажин Сергей Викторович</dc:creator>
  <cp:lastModifiedBy>Бажин Сергей Викторович</cp:lastModifiedBy>
  <cp:revision>2</cp:revision>
  <dcterms:created xsi:type="dcterms:W3CDTF">2017-06-07T07:09:00Z</dcterms:created>
  <dcterms:modified xsi:type="dcterms:W3CDTF">2017-06-07T07:10:00Z</dcterms:modified>
</cp:coreProperties>
</file>