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5"/>
        <w:jc w:val="center"/>
        <w:spacing w:after="60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ОТЧЁТ</w:t>
      </w:r>
      <w:r>
        <w:rPr>
          <w:rFonts w:ascii="Arial" w:hAnsi="Arial" w:cs="Arial"/>
          <w:b/>
          <w:bCs/>
          <w:sz w:val="28"/>
          <w:szCs w:val="28"/>
        </w:rPr>
      </w:r>
      <w:r>
        <w:rPr>
          <w:rFonts w:ascii="Arial" w:hAnsi="Arial" w:cs="Arial"/>
          <w:b/>
          <w:bCs/>
          <w:sz w:val="28"/>
          <w:szCs w:val="28"/>
        </w:rPr>
      </w:r>
    </w:p>
    <w:p>
      <w:pPr>
        <w:pStyle w:val="935"/>
        <w:jc w:val="center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ОБ</w:t>
      </w:r>
      <w:r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 xml:space="preserve">ИТОГАХ</w:t>
      </w:r>
      <w:r>
        <w:rPr>
          <w:rFonts w:ascii="Arial" w:hAnsi="Arial" w:cs="Arial"/>
          <w:b/>
          <w:bCs/>
          <w:caps/>
        </w:rPr>
        <w:t xml:space="preserve"> </w:t>
      </w:r>
      <w:r>
        <w:rPr>
          <w:rFonts w:ascii="Arial" w:hAnsi="Arial" w:cs="Arial"/>
          <w:b/>
          <w:bCs/>
          <w:caps/>
        </w:rPr>
        <w:t xml:space="preserve">ГОЛОСОВАНИЯ</w:t>
      </w:r>
      <w:r>
        <w:rPr>
          <w:rFonts w:ascii="Arial" w:hAnsi="Arial" w:cs="Arial"/>
          <w:b/>
          <w:bCs/>
          <w:caps/>
        </w:rPr>
      </w:r>
      <w:r>
        <w:rPr>
          <w:rFonts w:ascii="Arial" w:hAnsi="Arial" w:cs="Arial"/>
          <w:b/>
          <w:bCs/>
          <w:caps/>
        </w:rPr>
      </w:r>
    </w:p>
    <w:p>
      <w:pPr>
        <w:pStyle w:val="935"/>
        <w:jc w:val="center"/>
        <w:spacing w:after="360"/>
        <w:tabs>
          <w:tab w:val="clear" w:pos="4677" w:leader="none"/>
          <w:tab w:val="clear" w:pos="9355" w:leader="none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НА ОБЩЕМ СОБРАНИИ АКЦИОНЕРОВ</w:t>
      </w:r>
      <w:r>
        <w:rPr>
          <w:rFonts w:ascii="Arial" w:hAnsi="Arial" w:cs="Arial"/>
          <w:b/>
          <w:bCs/>
          <w:caps/>
        </w:rPr>
      </w:r>
      <w:r>
        <w:rPr>
          <w:rFonts w:ascii="Arial" w:hAnsi="Arial" w:cs="Arial"/>
          <w:b/>
          <w:bCs/>
          <w:caps/>
        </w:rPr>
      </w:r>
    </w:p>
    <w:p>
      <w:pPr>
        <w:pStyle w:val="935"/>
        <w:jc w:val="both"/>
        <w:spacing w:before="240"/>
        <w:tabs>
          <w:tab w:val="clear" w:pos="4677" w:leader="none"/>
          <w:tab w:val="clear" w:pos="9355" w:leader="none"/>
        </w:tabs>
      </w:pPr>
      <w:r>
        <w:t xml:space="preserve">Полное фирменное наименование Общества: </w:t>
      </w:r>
      <w:r>
        <w:rPr>
          <w:i/>
          <w:iCs/>
        </w:rPr>
        <w:t xml:space="preserve">Акционерное общество «Газпром газораспределение Пермь»</w:t>
      </w:r>
      <w:r>
        <w:rPr>
          <w:i/>
          <w:iCs/>
        </w:rPr>
        <w:t xml:space="preserve"> (далее по тексту</w:t>
      </w:r>
      <w:r>
        <w:rPr>
          <w:i/>
          <w:iCs/>
        </w:rPr>
        <w:t xml:space="preserve"> – </w:t>
      </w:r>
      <w:r>
        <w:rPr>
          <w:i/>
          <w:iCs/>
        </w:rPr>
        <w:t xml:space="preserve">Общество)</w:t>
      </w:r>
      <w:r>
        <w:rPr>
          <w:i/>
          <w:iCs/>
        </w:rPr>
        <w:t xml:space="preserve">.</w:t>
      </w:r>
      <w:r/>
    </w:p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</w:rPr>
      </w:pPr>
      <w:r>
        <w:t xml:space="preserve">Место нахождения Общества:</w:t>
      </w:r>
      <w:r>
        <w:rPr>
          <w:i/>
          <w:iCs/>
        </w:rPr>
        <w:t xml:space="preserve"> Российская Федерация, Пермский край, город Пермь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</w:rPr>
      </w:pPr>
      <w:r>
        <w:t xml:space="preserve">Адрес</w:t>
      </w:r>
      <w:r>
        <w:t xml:space="preserve"> Общества:</w:t>
      </w:r>
      <w:r>
        <w:rPr>
          <w:i/>
          <w:iCs/>
        </w:rPr>
        <w:t xml:space="preserve"> </w:t>
      </w:r>
      <w:r>
        <w:rPr>
          <w:i/>
          <w:iCs/>
        </w:rPr>
        <w:t xml:space="preserve">614000, Пермский край, г</w:t>
      </w:r>
      <w:r>
        <w:rPr>
          <w:i/>
          <w:iCs/>
        </w:rPr>
        <w:t xml:space="preserve">.</w:t>
      </w:r>
      <w:r>
        <w:rPr>
          <w:i/>
          <w:iCs/>
        </w:rPr>
        <w:t xml:space="preserve"> Пермь, ул</w:t>
      </w:r>
      <w:r>
        <w:rPr>
          <w:i/>
          <w:iCs/>
        </w:rPr>
        <w:t xml:space="preserve">.</w:t>
      </w:r>
      <w:r>
        <w:rPr>
          <w:i/>
          <w:iCs/>
        </w:rPr>
        <w:t xml:space="preserve"> Петропавловская, д</w:t>
      </w:r>
      <w:r>
        <w:rPr>
          <w:i/>
          <w:iCs/>
        </w:rPr>
        <w:t xml:space="preserve">.</w:t>
      </w:r>
      <w:r>
        <w:rPr>
          <w:i/>
          <w:iCs/>
        </w:rPr>
        <w:t xml:space="preserve"> 43</w:t>
      </w:r>
      <w:r>
        <w:rPr>
          <w:i/>
          <w:iCs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</w:pPr>
      <w:r>
        <w:t xml:space="preserve">Вид</w:t>
      </w:r>
      <w:r>
        <w:t xml:space="preserve"> </w:t>
      </w:r>
      <w:r>
        <w:t xml:space="preserve">общего</w:t>
      </w:r>
      <w:r>
        <w:t xml:space="preserve"> </w:t>
      </w:r>
      <w:r>
        <w:t xml:space="preserve">собрания</w:t>
      </w:r>
      <w:r>
        <w:t xml:space="preserve">:</w:t>
      </w:r>
      <w:r>
        <w:rPr>
          <w:i/>
          <w:iCs/>
        </w:rPr>
        <w:t xml:space="preserve"> </w:t>
      </w:r>
      <w:bookmarkStart w:id="0" w:name="_GoBack"/>
      <w:r/>
      <w:bookmarkEnd w:id="0"/>
      <w:r>
        <w:rPr>
          <w:i/>
          <w:iCs/>
        </w:rPr>
        <w:t xml:space="preserve">внеочередное.</w:t>
      </w:r>
      <w:r/>
    </w:p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</w:pPr>
      <w:r>
        <w:t xml:space="preserve">Форма проведения общего собрания:</w:t>
      </w:r>
      <w:r>
        <w:rPr>
          <w:b/>
          <w:bCs/>
        </w:rPr>
        <w:t xml:space="preserve"> </w:t>
      </w:r>
      <w:r>
        <w:rPr>
          <w:i/>
          <w:iCs/>
        </w:rPr>
        <w:t xml:space="preserve">заочное голосование</w:t>
      </w:r>
      <w:r>
        <w:rPr>
          <w:i/>
          <w:iCs/>
        </w:rPr>
        <w:t xml:space="preserve">.</w:t>
      </w:r>
      <w:r/>
    </w:p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u w:val="single"/>
        </w:rPr>
      </w:pPr>
      <w:r>
        <w:t xml:space="preserve">Дата окончания приема бюллетеней: </w:t>
      </w:r>
      <w:r>
        <w:rPr>
          <w:i/>
          <w:iCs/>
        </w:rPr>
        <w:t xml:space="preserve">14 февраля 2025 г.</w:t>
      </w:r>
      <w:r>
        <w:rPr>
          <w:i/>
          <w:iCs/>
          <w:u w:val="single"/>
        </w:rPr>
      </w:r>
      <w:r>
        <w:rPr>
          <w:i/>
          <w:iCs/>
          <w:u w:val="single"/>
        </w:rPr>
      </w:r>
    </w:p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</w:pPr>
      <w:r>
        <w:t xml:space="preserve">Дата определения (фиксации) лиц, имевших право на участие в общем собрании</w:t>
      </w:r>
      <w:r>
        <w:t xml:space="preserve">:</w:t>
      </w:r>
      <w:r>
        <w:t xml:space="preserve"> </w:t>
      </w:r>
      <w:r>
        <w:rPr>
          <w:i/>
        </w:rPr>
        <w:t xml:space="preserve">21 января 2025 г.</w:t>
      </w:r>
      <w:r/>
    </w:p>
    <w:p>
      <w:pPr>
        <w:pStyle w:val="936"/>
        <w:spacing w:before="120" w:after="60"/>
      </w:pPr>
      <w:r>
        <w:t xml:space="preserve">Повестка дня общего собрания</w:t>
      </w:r>
      <w:r>
        <w:t xml:space="preserve">:</w:t>
      </w:r>
      <w:r/>
    </w:p>
    <w:tbl>
      <w:tblPr>
        <w:tblW w:w="9322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8755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6"/>
              <w:rPr>
                <w:i/>
                <w:iCs/>
              </w:rPr>
            </w:pPr>
            <w:r>
              <w:rPr>
                <w:i/>
                <w:iCs/>
              </w:rPr>
              <w:t xml:space="preserve">1.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936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Об увеличении уставного капитала путем размещения дополнительных акций.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6"/>
              <w:rPr>
                <w:i/>
                <w:iCs/>
              </w:rPr>
            </w:pPr>
            <w:r>
              <w:rPr>
                <w:i/>
                <w:iCs/>
              </w:rPr>
              <w:t xml:space="preserve">2.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936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О порядке и сроках оплаты размещаемых дополнительных акций Общества.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</w:tbl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</w:rPr>
      </w:pPr>
      <w:r>
        <w:t xml:space="preserve">Полное фирменное наименование регистратора,</w:t>
      </w:r>
      <w:r>
        <w:rPr>
          <w:b/>
          <w:bCs/>
        </w:rPr>
        <w:t xml:space="preserve"> </w:t>
      </w:r>
      <w:r>
        <w:t xml:space="preserve">исполняющего функции Счетной комиссии</w:t>
      </w:r>
      <w:r>
        <w:t xml:space="preserve">:</w:t>
      </w:r>
      <w:r>
        <w:t xml:space="preserve"> </w:t>
      </w:r>
      <w:r>
        <w:rPr>
          <w:i/>
        </w:rPr>
        <w:t xml:space="preserve">Акционерное общество «Специализированный регистратор – Держатель реестров акционеров газовой промышленности» (АО «ДРАГА»)</w:t>
      </w:r>
      <w:r>
        <w:rPr>
          <w:i/>
        </w:rPr>
        <w:t xml:space="preserve"> </w:t>
      </w:r>
      <w:r>
        <w:rPr>
          <w:i/>
        </w:rPr>
        <w:t xml:space="preserve">(далее по тексту -Регистратор)</w:t>
      </w:r>
      <w:r>
        <w:rPr>
          <w:i/>
        </w:rPr>
        <w:t xml:space="preserve">.</w:t>
      </w:r>
      <w:r>
        <w:rPr>
          <w:i/>
          <w:iCs/>
        </w:rPr>
      </w:r>
      <w:r>
        <w:rPr>
          <w:i/>
          <w:iCs/>
        </w:rPr>
      </w:r>
    </w:p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</w:pPr>
      <w:r>
        <w:t xml:space="preserve">Место нахождения Регистратора:</w:t>
      </w:r>
      <w:r>
        <w:t xml:space="preserve"> </w:t>
      </w:r>
      <w:r>
        <w:t xml:space="preserve">г. Санкт-Петербург</w:t>
      </w:r>
      <w:r>
        <w:t xml:space="preserve">.</w:t>
      </w:r>
      <w:r/>
    </w:p>
    <w:p>
      <w:pPr>
        <w:pStyle w:val="935"/>
        <w:jc w:val="both"/>
        <w:spacing w:before="120"/>
        <w:tabs>
          <w:tab w:val="clear" w:pos="4677" w:leader="none"/>
          <w:tab w:val="clear" w:pos="9355" w:leader="none"/>
        </w:tabs>
        <w:rPr>
          <w:i/>
          <w:iCs/>
          <w:u w:val="single"/>
        </w:rPr>
      </w:pPr>
      <w:r>
        <w:t xml:space="preserve">Адрес</w:t>
      </w:r>
      <w:r>
        <w:t xml:space="preserve"> Регистратора:</w:t>
      </w:r>
      <w:r>
        <w:t xml:space="preserve"> </w:t>
      </w:r>
      <w:r>
        <w:t xml:space="preserve">190098, г. Санкт-Петербург, вн.тер.г. муниципальный округ Адмиралтейский округ, б-р Конногвардейский, д. 4, литера А, помещ. 73-Н</w:t>
      </w:r>
      <w:r>
        <w:t xml:space="preserve">.</w:t>
      </w:r>
      <w:r>
        <w:rPr>
          <w:i/>
          <w:iCs/>
          <w:u w:val="single"/>
        </w:rPr>
      </w:r>
      <w:r>
        <w:rPr>
          <w:i/>
          <w:iCs/>
          <w:u w:val="single"/>
        </w:rPr>
      </w:r>
    </w:p>
    <w:p>
      <w:pPr>
        <w:pStyle w:val="935"/>
        <w:jc w:val="both"/>
        <w:spacing w:before="120" w:after="120"/>
        <w:tabs>
          <w:tab w:val="clear" w:pos="4677" w:leader="none"/>
          <w:tab w:val="clear" w:pos="9355" w:leader="none"/>
        </w:tabs>
      </w:pPr>
      <w:r>
        <w:t xml:space="preserve">Лицо, уполномоченное Регистратором</w:t>
      </w:r>
      <w:r>
        <w:t xml:space="preserve">,</w:t>
      </w:r>
      <w:r>
        <w:t xml:space="preserve"> </w:t>
      </w:r>
      <w:r>
        <w:t xml:space="preserve">исполняющим функции Счетной комиссии</w:t>
      </w:r>
      <w:r>
        <w:t xml:space="preserve">:</w:t>
      </w:r>
      <w:r/>
    </w:p>
    <w:tbl>
      <w:tblPr>
        <w:tblW w:w="9322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"/>
        <w:gridCol w:w="8755"/>
      </w:tblGrid>
      <w:tr>
        <w:tblPrEx/>
        <w:trPr>
          <w:trHeight w:val="284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936"/>
              <w:jc w:val="both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57" w:type="dxa"/>
            </w:tcMar>
            <w:tcW w:w="8755" w:type="dxa"/>
            <w:vAlign w:val="top"/>
            <w:textDirection w:val="lrTb"/>
            <w:noWrap w:val="false"/>
          </w:tcPr>
          <w:p>
            <w:pPr>
              <w:pStyle w:val="936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Чистова Ирина Юрьевна.</w:t>
            </w:r>
            <w:r>
              <w:rPr>
                <w:i/>
                <w:iCs/>
                <w:lang w:val="en-US"/>
              </w:rPr>
            </w:r>
            <w:r>
              <w:rPr>
                <w:i/>
                <w:iCs/>
                <w:lang w:val="en-US"/>
              </w:rPr>
            </w:r>
          </w:p>
        </w:tc>
      </w:tr>
    </w:tbl>
    <w:p>
      <w:pPr>
        <w:pStyle w:val="935"/>
        <w:jc w:val="center"/>
        <w:spacing w:after="360"/>
        <w:tabs>
          <w:tab w:val="clear" w:pos="4677" w:leader="none"/>
          <w:tab w:val="clear" w:pos="9355" w:leader="none"/>
        </w:tabs>
        <w:rPr>
          <w:i/>
          <w:iCs/>
          <w:lang w:val="en-US"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6" w:h="16838" w:orient="portrait"/>
          <w:pgMar w:top="567" w:right="709" w:bottom="567" w:left="1701" w:header="567" w:footer="567" w:gutter="0"/>
          <w:pgNumType w:start="1"/>
          <w:cols w:num="1" w:sep="0" w:space="708" w:equalWidth="1"/>
          <w:docGrid w:linePitch="360"/>
        </w:sectPr>
      </w:pPr>
      <w:r>
        <w:rPr>
          <w:i/>
          <w:iCs/>
          <w:lang w:val="en-US"/>
        </w:rPr>
      </w:r>
      <w:r>
        <w:rPr>
          <w:i/>
          <w:iCs/>
          <w:lang w:val="en-US"/>
        </w:rPr>
      </w:r>
      <w:r>
        <w:rPr>
          <w:i/>
          <w:iCs/>
          <w:lang w:val="en-US"/>
        </w:rPr>
      </w:r>
    </w:p>
    <w:p>
      <w:pPr>
        <w:pStyle w:val="941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1</w:t>
      </w:r>
      <w:r>
        <w:t xml:space="preserve"> повестки дня:</w:t>
      </w:r>
      <w:r/>
    </w:p>
    <w:p>
      <w:pPr>
        <w:pStyle w:val="941"/>
        <w:numPr>
          <w:ilvl w:val="0"/>
          <w:numId w:val="1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1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941"/>
        <w:numPr>
          <w:ilvl w:val="0"/>
          <w:numId w:val="1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 «Газпром газораспределение Пермь»</w:t>
      </w:r>
      <w:r>
        <w:t xml:space="preserve">, определенное с учетом положений пункта 4.24 Положения Банка России от 16 ноября 2018 г. № 660-п «Об общих собраниях акционеров», по </w:t>
      </w:r>
      <w:r>
        <w:t xml:space="preserve">вопросу 1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941"/>
        <w:numPr>
          <w:ilvl w:val="0"/>
          <w:numId w:val="1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</w:t>
      </w:r>
      <w:bookmarkStart w:id="1" w:name="_GoBack_0"/>
      <w:r/>
      <w:bookmarkEnd w:id="1"/>
      <w:r>
        <w:t xml:space="preserve">по</w:t>
      </w:r>
      <w:r>
        <w:t xml:space="preserve"> вопросу 1 </w:t>
      </w:r>
      <w:r>
        <w:t xml:space="preserve">повестки дня составило:</w:t>
      </w:r>
      <w:r>
        <w:t xml:space="preserve"> </w:t>
      </w:r>
      <w:r>
        <w:t xml:space="preserve">8 552 261</w:t>
      </w:r>
      <w:r>
        <w:t xml:space="preserve">.</w:t>
      </w:r>
      <w:r/>
    </w:p>
    <w:p>
      <w:pPr>
        <w:pStyle w:val="941"/>
        <w:jc w:val="both"/>
        <w:spacing w:before="240"/>
      </w:pPr>
      <w:r>
        <w:t xml:space="preserve">Д</w:t>
      </w:r>
      <w:r>
        <w:t xml:space="preserve">ля принятия решения по вопросу 1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941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1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941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41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941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7 411 693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(86,6636%)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41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941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1 140 568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(13,3364%)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41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941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1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(0,0000%)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941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1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0 (0,0000%)</w:t>
      </w:r>
      <w:r>
        <w:t xml:space="preserve">.</w:t>
      </w:r>
      <w:r/>
    </w:p>
    <w:p>
      <w:pPr>
        <w:pStyle w:val="941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1</w:t>
      </w:r>
      <w:r>
        <w:t xml:space="preserve"> повестки дня:</w:t>
      </w:r>
      <w:r/>
    </w:p>
    <w:p>
      <w:pPr>
        <w:pStyle w:val="941"/>
        <w:ind w:left="357"/>
        <w:jc w:val="both"/>
        <w:spacing w:before="120" w:after="120"/>
        <w:rPr>
          <w:i/>
          <w:iCs/>
        </w:rPr>
        <w:outlineLvl w:val="0"/>
      </w:pPr>
      <w:r>
        <w:rPr>
          <w:i/>
          <w:iCs/>
        </w:rPr>
        <w:t xml:space="preserve">«Увеличить уставный капитал Общества путем размещения дополнительных акций, со следующими условиями размещения:</w:t>
      </w:r>
      <w:r>
        <w:rPr>
          <w:i/>
          <w:iCs/>
        </w:rPr>
      </w:r>
      <w:r>
        <w:rPr>
          <w:i/>
          <w:iCs/>
        </w:rPr>
      </w:r>
    </w:p>
    <w:p>
      <w:pPr>
        <w:pStyle w:val="941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Вид, категория (тип), форма размещаемых ценных бумаг - обыкновенные акции;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1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Номинальная стоимость каждой ценной бумаги дополнительного выпуска –</w:t>
      </w:r>
      <w:bookmarkStart w:id="2" w:name="_GoBack_1"/>
      <w:r/>
      <w:bookmarkEnd w:id="2"/>
      <w:r>
        <w:rPr>
          <w:i/>
          <w:iCs/>
        </w:rPr>
        <w:t xml:space="preserve"> 48 (Сорок восемь) руб.;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1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Цена размещения (в том числе и по преимущественному праву): 148 (Сто сорок восемь) руб. 22 коп. каждая.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1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Количество размещаемых дополнительных акций – 2 874 444 (Два миллиона восемьсот семьдесят четыре</w:t>
      </w:r>
      <w:r>
        <w:rPr>
          <w:i/>
          <w:iCs/>
        </w:rPr>
        <w:t xml:space="preserve"> </w:t>
      </w:r>
      <w:r>
        <w:rPr>
          <w:i/>
          <w:iCs/>
        </w:rPr>
        <w:t xml:space="preserve">тысячи четыреста сорок четыре) шт.;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1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Способ размещения – закрытая подписка.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1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Участник закрытой подписки: АО «Газпром газораспределение» (ОГРН</w:t>
      </w:r>
      <w:r>
        <w:rPr>
          <w:i/>
          <w:iCs/>
        </w:rPr>
        <w:t xml:space="preserve"> </w:t>
      </w:r>
      <w:r>
        <w:rPr>
          <w:i/>
          <w:iCs/>
        </w:rPr>
        <w:t xml:space="preserve">1047855099170).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1"/>
        <w:ind w:left="357"/>
        <w:jc w:val="both"/>
        <w:spacing w:before="120" w:after="120"/>
        <w:rPr>
          <w:b/>
          <w:bCs/>
          <w:sz w:val="16"/>
          <w:szCs w:val="14"/>
        </w:rPr>
        <w:sectPr>
          <w:headerReference w:type="default" r:id="rId12"/>
          <w:footnotePr>
            <w:pos w:val="beneathText"/>
          </w:footnotePr>
          <w:endnotePr/>
          <w:type w:val="nextPage"/>
          <w:pgSz w:w="11906" w:h="16838" w:orient="portrait"/>
          <w:pgMar w:top="567" w:right="709" w:bottom="567" w:left="1701" w:header="567" w:footer="567" w:gutter="0"/>
          <w:cols w:num="1" w:sep="0" w:space="708" w:equalWidth="1"/>
          <w:docGrid w:linePitch="360"/>
        </w:sectPr>
        <w:outlineLvl w:val="0"/>
      </w:pPr>
      <w:r>
        <w:rPr>
          <w:i/>
          <w:iCs/>
        </w:rPr>
        <w:t xml:space="preserve">Форма оплаты размещаемых дополнительных акций: денежными средствами, включая возможность оплаты размещаемых ценных бумаг путем зачета денежных требований</w:t>
      </w:r>
      <w:r>
        <w:rPr>
          <w:i/>
          <w:iCs/>
        </w:rPr>
        <w:t xml:space="preserve"> </w:t>
      </w:r>
      <w:r>
        <w:rPr>
          <w:i/>
          <w:iCs/>
        </w:rPr>
        <w:t xml:space="preserve">к</w:t>
      </w:r>
      <w:r>
        <w:rPr>
          <w:i/>
          <w:iCs/>
        </w:rPr>
        <w:t xml:space="preserve"> </w:t>
      </w:r>
      <w:r>
        <w:rPr>
          <w:i/>
          <w:iCs/>
        </w:rPr>
        <w:t xml:space="preserve">Обществу.»</w:t>
      </w:r>
      <w:r>
        <w:rPr>
          <w:b/>
          <w:bCs/>
          <w:sz w:val="16"/>
          <w:szCs w:val="14"/>
        </w:rPr>
      </w:r>
      <w:r>
        <w:rPr>
          <w:b/>
          <w:bCs/>
          <w:sz w:val="16"/>
          <w:szCs w:val="14"/>
        </w:rPr>
      </w:r>
    </w:p>
    <w:p>
      <w:pPr>
        <w:pStyle w:val="944"/>
        <w:jc w:val="both"/>
        <w:spacing w:before="360" w:after="120"/>
        <w:tabs>
          <w:tab w:val="left" w:pos="284" w:leader="none"/>
        </w:tabs>
      </w:pPr>
      <w:r>
        <w:t xml:space="preserve">Итоги голосования по </w:t>
      </w:r>
      <w:r>
        <w:t xml:space="preserve">вопросу 2</w:t>
      </w:r>
      <w:r>
        <w:t xml:space="preserve"> повестки дня:</w:t>
      </w:r>
      <w:r/>
    </w:p>
    <w:p>
      <w:pPr>
        <w:pStyle w:val="944"/>
        <w:numPr>
          <w:ilvl w:val="0"/>
          <w:numId w:val="2"/>
        </w:numPr>
        <w:jc w:val="both"/>
        <w:spacing w:before="360" w:after="120"/>
        <w:tabs>
          <w:tab w:val="left" w:pos="284" w:leader="none"/>
        </w:tabs>
      </w:pPr>
      <w:r>
        <w:t xml:space="preserve">Число голосов, которым</w:t>
      </w:r>
      <w:r>
        <w:t xml:space="preserve">и</w:t>
      </w:r>
      <w:r>
        <w:t xml:space="preserve"> облада</w:t>
      </w:r>
      <w:r>
        <w:t xml:space="preserve">ли</w:t>
      </w:r>
      <w:r>
        <w:t xml:space="preserve"> лица, включенные в </w:t>
      </w:r>
      <w:r>
        <w:t xml:space="preserve">С</w:t>
      </w:r>
      <w:r>
        <w:t xml:space="preserve">писок лиц, име</w:t>
      </w:r>
      <w:r>
        <w:t xml:space="preserve">вш</w:t>
      </w:r>
      <w:r>
        <w:t xml:space="preserve">их право на участие</w:t>
      </w:r>
      <w:r>
        <w:t xml:space="preserve"> в общем собрании</w:t>
      </w:r>
      <w:r>
        <w:t xml:space="preserve">,</w:t>
      </w:r>
      <w:r>
        <w:t xml:space="preserve"> по </w:t>
      </w:r>
      <w:r>
        <w:t xml:space="preserve">вопросу 2</w:t>
      </w:r>
      <w:r>
        <w:t xml:space="preserve"> повестки дня </w:t>
      </w:r>
      <w:r>
        <w:t xml:space="preserve">составило</w:t>
      </w:r>
      <w:r>
        <w:t xml:space="preserve">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944"/>
        <w:numPr>
          <w:ilvl w:val="0"/>
          <w:numId w:val="2"/>
        </w:numPr>
        <w:jc w:val="both"/>
        <w:spacing w:before="240" w:after="120"/>
        <w:tabs>
          <w:tab w:val="left" w:pos="284" w:leader="none"/>
        </w:tabs>
      </w:pPr>
      <w:r>
        <w:t xml:space="preserve">Число голосов, приходившихся на голосующие акции </w:t>
      </w:r>
      <w:r>
        <w:t xml:space="preserve">АО «Газпром газораспределение Пермь»</w:t>
      </w:r>
      <w:r>
        <w:t xml:space="preserve">, определенное с учетом положений пункта 4.24 Положения Банка России</w:t>
      </w:r>
      <w:r>
        <w:t xml:space="preserve"> от 16 ноября 2018 г. № 660-п «Об общих собраниях акционеров», по </w:t>
      </w:r>
      <w:r>
        <w:t xml:space="preserve">вопросу 2</w:t>
      </w:r>
      <w:r>
        <w:t xml:space="preserve"> повестки дня составило:</w:t>
      </w:r>
      <w:r>
        <w:t xml:space="preserve"> </w:t>
      </w:r>
      <w:r>
        <w:t xml:space="preserve">9 434 925</w:t>
      </w:r>
      <w:r>
        <w:t xml:space="preserve">.</w:t>
      </w:r>
      <w:r/>
    </w:p>
    <w:p>
      <w:pPr>
        <w:pStyle w:val="944"/>
        <w:numPr>
          <w:ilvl w:val="0"/>
          <w:numId w:val="2"/>
        </w:numPr>
        <w:jc w:val="both"/>
        <w:spacing w:before="240" w:after="120"/>
        <w:tabs>
          <w:tab w:val="left" w:pos="284" w:leader="none"/>
        </w:tabs>
      </w:pPr>
      <w:r>
        <w:t xml:space="preserve">Число</w:t>
      </w:r>
      <w:r>
        <w:t xml:space="preserve"> </w:t>
      </w:r>
      <w:r>
        <w:t xml:space="preserve">голосов</w:t>
      </w:r>
      <w:r>
        <w:t xml:space="preserve">, </w:t>
      </w:r>
      <w:r>
        <w:t xml:space="preserve">которыми</w:t>
      </w:r>
      <w:r>
        <w:t xml:space="preserve"> </w:t>
      </w:r>
      <w:r>
        <w:t xml:space="preserve">обладали</w:t>
      </w:r>
      <w:r>
        <w:t xml:space="preserve"> </w:t>
      </w:r>
      <w:r>
        <w:t xml:space="preserve">лица</w:t>
      </w:r>
      <w:r>
        <w:t xml:space="preserve">, </w:t>
      </w:r>
      <w:r>
        <w:t xml:space="preserve">принявшие</w:t>
      </w:r>
      <w: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общем</w:t>
      </w:r>
      <w:r>
        <w:t xml:space="preserve"> </w:t>
      </w:r>
      <w:r>
        <w:t xml:space="preserve">собрании</w:t>
      </w:r>
      <w:r>
        <w:t xml:space="preserve">,</w:t>
      </w:r>
      <w:r>
        <w:t xml:space="preserve"> </w:t>
      </w:r>
      <w:bookmarkStart w:id="3" w:name="_GoBack_2"/>
      <w:r/>
      <w:bookmarkEnd w:id="3"/>
      <w:r>
        <w:t xml:space="preserve">по</w:t>
      </w:r>
      <w:r>
        <w:t xml:space="preserve"> вопросу 2 </w:t>
      </w:r>
      <w:r>
        <w:t xml:space="preserve">повестки дня составило:</w:t>
      </w:r>
      <w:r>
        <w:t xml:space="preserve"> </w:t>
      </w:r>
      <w:r>
        <w:t xml:space="preserve">8 552 261</w:t>
      </w:r>
      <w:r>
        <w:t xml:space="preserve">.</w:t>
      </w:r>
      <w:r/>
    </w:p>
    <w:p>
      <w:pPr>
        <w:pStyle w:val="944"/>
        <w:jc w:val="both"/>
        <w:spacing w:before="240"/>
      </w:pPr>
      <w:r>
        <w:t xml:space="preserve">Д</w:t>
      </w:r>
      <w:r>
        <w:t xml:space="preserve">ля принятия решения по вопросу 2</w:t>
      </w:r>
      <w:r>
        <w:t xml:space="preserve"> повестки дня</w:t>
      </w:r>
      <w:r>
        <w:t xml:space="preserve"> кворум имелся</w:t>
      </w:r>
      <w:r>
        <w:t xml:space="preserve">.</w:t>
      </w:r>
      <w:r/>
    </w:p>
    <w:p>
      <w:pPr>
        <w:pStyle w:val="944"/>
        <w:jc w:val="both"/>
        <w:spacing w:before="240"/>
        <w:tabs>
          <w:tab w:val="left" w:pos="284" w:leader="none"/>
        </w:tabs>
      </w:pPr>
      <w:r>
        <w:t xml:space="preserve">4. </w:t>
      </w:r>
      <w:r>
        <w:t xml:space="preserve">Число</w:t>
      </w:r>
      <w:r>
        <w:t xml:space="preserve"> голосов</w:t>
      </w:r>
      <w:r>
        <w:t xml:space="preserve">, отданных за каждый </w:t>
      </w:r>
      <w:r>
        <w:t xml:space="preserve">из </w:t>
      </w:r>
      <w:r>
        <w:t xml:space="preserve">вариант</w:t>
      </w:r>
      <w:r>
        <w:t xml:space="preserve">ов</w:t>
      </w:r>
      <w:r>
        <w:t xml:space="preserve"> голосования по </w:t>
      </w:r>
      <w:r>
        <w:t xml:space="preserve">вопросу 2</w:t>
      </w:r>
      <w:r>
        <w:t xml:space="preserve"> повестки дня</w:t>
      </w:r>
      <w:r>
        <w:t xml:space="preserve">:</w:t>
      </w:r>
      <w:r/>
    </w:p>
    <w:tbl>
      <w:tblPr>
        <w:tblW w:w="928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828"/>
        <w:gridCol w:w="2340"/>
        <w:gridCol w:w="3060"/>
        <w:gridCol w:w="3060"/>
      </w:tblGrid>
      <w:tr>
        <w:tblPrEx/>
        <w:trPr>
          <w:trHeight w:val="170" w:hRule="exact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288" w:type="dxa"/>
            <w:vAlign w:val="top"/>
            <w:textDirection w:val="lrTb"/>
            <w:noWrap w:val="false"/>
          </w:tcPr>
          <w:p>
            <w:pPr>
              <w:pStyle w:val="944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44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rPr>
                <w:lang w:val="en-US"/>
              </w:rPr>
            </w:pPr>
            <w:r>
              <w:t xml:space="preserve">«ЗА»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7 411 407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(86,6602%)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rPr>
                <w:lang w:val="en-US"/>
              </w:rPr>
            </w:pPr>
            <w:r>
              <w:t xml:space="preserve">«ПРОТИВ»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1 140 568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(13,3364%)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340" w:type="dxa"/>
            <w:vAlign w:val="top"/>
            <w:textDirection w:val="lrTb"/>
            <w:noWrap w:val="false"/>
          </w:tcPr>
          <w:p>
            <w:pPr>
              <w:pStyle w:val="944"/>
              <w:jc w:val="both"/>
              <w:rPr>
                <w:lang w:val="en-US"/>
              </w:rPr>
            </w:pPr>
            <w:r>
              <w:t xml:space="preserve">«ВОЗДЕРЖАЛСЯ»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286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0" w:type="dxa"/>
            <w:vAlign w:val="top"/>
            <w:textDirection w:val="lrTb"/>
            <w:noWrap w:val="false"/>
          </w:tcPr>
          <w:p>
            <w:pPr>
              <w:pStyle w:val="944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(0,0033%)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944"/>
        <w:jc w:val="both"/>
        <w:spacing w:before="240"/>
        <w:tabs>
          <w:tab w:val="left" w:pos="284" w:leader="none"/>
        </w:tabs>
      </w:pPr>
      <w:r>
        <w:t xml:space="preserve">5.</w:t>
      </w:r>
      <w:r>
        <w:t xml:space="preserve"> </w:t>
      </w:r>
      <w:r>
        <w:t xml:space="preserve">Число</w:t>
      </w:r>
      <w:r>
        <w:t xml:space="preserve"> </w:t>
      </w:r>
      <w:r>
        <w:t xml:space="preserve">голосов</w:t>
      </w:r>
      <w:r>
        <w:t xml:space="preserve"> </w:t>
      </w:r>
      <w:r>
        <w:t xml:space="preserve">по</w:t>
      </w:r>
      <w:r>
        <w:t xml:space="preserve"> </w:t>
      </w:r>
      <w:r>
        <w:t xml:space="preserve">вопросу 2</w:t>
      </w:r>
      <w:r>
        <w:t xml:space="preserve">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</w:t>
      </w:r>
      <w:r>
        <w:t xml:space="preserve">,</w:t>
      </w:r>
      <w:r>
        <w:t xml:space="preserve"> составило</w:t>
      </w:r>
      <w:r>
        <w:t xml:space="preserve">:</w:t>
      </w:r>
      <w:r>
        <w:t xml:space="preserve"> </w:t>
      </w:r>
      <w:r>
        <w:t xml:space="preserve">0 (0,0000%)</w:t>
      </w:r>
      <w:r>
        <w:t xml:space="preserve">.</w:t>
      </w:r>
      <w:r/>
    </w:p>
    <w:p>
      <w:pPr>
        <w:pStyle w:val="944"/>
        <w:jc w:val="both"/>
        <w:spacing w:before="240"/>
        <w:tabs>
          <w:tab w:val="left" w:pos="284" w:leader="none"/>
        </w:tabs>
      </w:pPr>
      <w:r>
        <w:t xml:space="preserve">6</w:t>
      </w:r>
      <w:r>
        <w:t xml:space="preserve">.</w:t>
      </w:r>
      <w:r>
        <w:t xml:space="preserve"> </w:t>
      </w:r>
      <w:r>
        <w:t xml:space="preserve">Формулировка решения, принятого общим собранием, по </w:t>
      </w:r>
      <w:r>
        <w:t xml:space="preserve">вопросу 2</w:t>
      </w:r>
      <w:r>
        <w:t xml:space="preserve"> повестки дня:</w:t>
      </w:r>
      <w:r/>
    </w:p>
    <w:p>
      <w:pPr>
        <w:pStyle w:val="944"/>
        <w:ind w:left="357"/>
        <w:jc w:val="both"/>
        <w:spacing w:before="120" w:after="120"/>
        <w:rPr>
          <w:i/>
          <w:iCs/>
        </w:rPr>
        <w:outlineLvl w:val="0"/>
      </w:pPr>
      <w:r>
        <w:rPr>
          <w:i/>
          <w:iCs/>
        </w:rPr>
        <w:t xml:space="preserve">«Определить срок и порядок оплаты размещаемых дополнительных акций Общества:</w:t>
      </w:r>
      <w:r>
        <w:rPr>
          <w:i/>
          <w:iCs/>
        </w:rPr>
      </w:r>
      <w:r>
        <w:rPr>
          <w:i/>
          <w:iCs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В случае использовани</w:t>
      </w:r>
      <w:r>
        <w:rPr>
          <w:i/>
          <w:iCs/>
        </w:rPr>
        <w:t xml:space="preserve">я преимущественного права приобретения размещаемых ценных бумаг договор может быть заключен в течение 45 дней с момента уведомления лиц, имеющих преимущественное право приобретения размещаемых ценных бумаг, о возможности его осуществления. Лицо, имеющее пр</w:t>
      </w:r>
      <w:r>
        <w:rPr>
          <w:i/>
          <w:iCs/>
        </w:rPr>
        <w:t xml:space="preserve">еимущественное право приобретения дополнительных акций, в течение срока его действия вправе полностью или частично осуществить свое преимущественное право путем подачи заявления о приобретении размещаемых ценных бумаг и исполнения обязанности по их оплате.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Уведомление о возможности осуществления преимущественного права приобретения</w:t>
      </w:r>
      <w:r>
        <w:rPr>
          <w:i/>
          <w:iCs/>
        </w:rPr>
        <w:t xml:space="preserve"> размещаемых ценных бумаг осуществляется в течение 3 (трех) рабочих дней с даты государственной регистрации дополнительного выпуска ценных бумаг путем размещения Уведомления на сайте Общества в информационно-телекоммуникационной сети «Интернет» по адресу: </w:t>
      </w:r>
      <w:r>
        <w:rPr>
          <w:i/>
          <w:iCs/>
          <w:lang w:val="en-US"/>
        </w:rPr>
        <w:t xml:space="preserve">www</w:t>
      </w:r>
      <w:r>
        <w:rPr>
          <w:i/>
          <w:iCs/>
        </w:rPr>
        <w:t xml:space="preserve">.</w:t>
      </w:r>
      <w:r>
        <w:rPr>
          <w:i/>
          <w:iCs/>
          <w:lang w:val="en-US"/>
        </w:rPr>
        <w:t xml:space="preserve">ugaz</w:t>
      </w:r>
      <w:r>
        <w:rPr>
          <w:i/>
          <w:iCs/>
        </w:rPr>
        <w:t xml:space="preserve">.</w:t>
      </w:r>
      <w:r>
        <w:rPr>
          <w:i/>
          <w:iCs/>
          <w:lang w:val="en-US"/>
        </w:rPr>
        <w:t xml:space="preserve">ru</w:t>
      </w:r>
      <w:r>
        <w:rPr>
          <w:i/>
          <w:iCs/>
        </w:rPr>
        <w:t xml:space="preserve">.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После подведения итогов осуществления преимущественного права приобретения размещаемых ценны</w:t>
      </w:r>
      <w:r>
        <w:rPr>
          <w:i/>
          <w:iCs/>
        </w:rPr>
        <w:t xml:space="preserve">х бумаг (45 дней с момента уведомления лиц, имеющих преимущественное право приобретения размещаемых ценных бумаг, о возможности его осуществления) и не позднее даты окончания размещения потенциальный приобретатель, с учетом сроков, необходимых на оплату це</w:t>
      </w:r>
      <w:r>
        <w:rPr>
          <w:i/>
          <w:iCs/>
        </w:rPr>
        <w:t xml:space="preserve">нных бумаг и внесение приходных записей по лицевым счетам первых владельцев, вправе обратиться к Обществу для заключения договора, направленного на отчуждение ценных бумаг. Срок оплаты размещаемых по подписке обыкновенных акций устанавливается в течение 30</w:t>
      </w:r>
      <w:r>
        <w:rPr>
          <w:i/>
          <w:iCs/>
        </w:rPr>
        <w:t xml:space="preserve"> </w:t>
      </w:r>
      <w:r>
        <w:rPr>
          <w:i/>
          <w:iCs/>
        </w:rPr>
        <w:t xml:space="preserve">рабочих дней с момента заключения договора, направленного на отчуждение ценных бумаг, но не позднее даты окончания размещения ценных бумаг настоящего дополнительного выпуска. Моментом заключения договора признается дата подписания его сторонами.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Ценные бумаги д</w:t>
      </w:r>
      <w:r>
        <w:rPr>
          <w:i/>
          <w:iCs/>
        </w:rPr>
        <w:t xml:space="preserve">ополнительного выпуска оплачиваются денежными средствами, включая возможность оплаты размещаемых ценных бумаг путем зачета денежных требований к Обществу. Предусмотрена безналичная форма расчетов. Форма безналичных расчетов: расчеты платежными поручениями.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Сведения о кредитной организации: 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Полное фирменное наименование: Нижегородский филиал Акционерное общество «Акционерный Банк «РОССИЯ»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Место нахождения: 603005, г. Нижний Новгород, ул. Ульянова, д. 26/11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Номер расчетного счета: р/с 40702810507240000001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Номер корреспондентского счета: к/с 30101810300000000876 БИК 042202876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Наименование получателя денежных средств: Акционерное общество «Газпром газораспределение Пермь».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5"/>
          <w:szCs w:val="15"/>
        </w:rPr>
        <w:outlineLvl w:val="0"/>
      </w:pPr>
      <w:r>
        <w:rPr>
          <w:i/>
          <w:iCs/>
        </w:rPr>
        <w:t xml:space="preserve">Сокращенное фирменное наименование: АО «Газпром газораспределение Пермь». </w:t>
      </w:r>
      <w:r>
        <w:rPr>
          <w:b/>
          <w:bCs/>
          <w:sz w:val="15"/>
          <w:szCs w:val="15"/>
        </w:rPr>
      </w:r>
      <w:r>
        <w:rPr>
          <w:b/>
          <w:bCs/>
          <w:sz w:val="15"/>
          <w:szCs w:val="15"/>
        </w:rPr>
      </w:r>
    </w:p>
    <w:p>
      <w:pPr>
        <w:pStyle w:val="944"/>
        <w:ind w:left="357"/>
        <w:jc w:val="both"/>
        <w:spacing w:before="120" w:after="120"/>
        <w:rPr>
          <w:b/>
          <w:bCs/>
          <w:sz w:val="14"/>
          <w:szCs w:val="14"/>
        </w:rPr>
        <w:outlineLvl w:val="0"/>
      </w:pPr>
      <w:r>
        <w:rPr>
          <w:i/>
          <w:iCs/>
          <w:lang w:val="en-US"/>
        </w:rPr>
        <w:t xml:space="preserve">ИНН получателя денежных средств: 5902183841.</w:t>
      </w:r>
      <w:r>
        <w:rPr>
          <w:i/>
          <w:iCs/>
          <w:lang w:val="en-US"/>
        </w:rPr>
        <w:t xml:space="preserve">»</w:t>
      </w: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pStyle w:val="949"/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</w:r>
      <w:r>
        <w:rPr>
          <w:szCs w:val="28"/>
          <w:lang w:eastAsia="en-US"/>
        </w:rPr>
      </w:r>
    </w:p>
    <w:tbl>
      <w:tblPr>
        <w:tblW w:w="0" w:type="auto"/>
        <w:tblInd w:w="-74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4040"/>
        <w:gridCol w:w="2341"/>
      </w:tblGrid>
      <w:tr>
        <w:tblPrEx/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4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Председательствующий на общем собрании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04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Пахомовский Юрий Витальевич.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Borders>
              <w:bottom w:val="single" w:color="000000" w:sz="8" w:space="0"/>
            </w:tcBorders>
            <w:tcW w:w="234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>
          <w:trHeight w:val="1089"/>
        </w:trPr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4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04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(ФИО)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8" w:space="0"/>
            </w:tcBorders>
            <w:tcW w:w="234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подпись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47"/>
              <w:rPr>
                <w:szCs w:val="28"/>
                <w:lang w:val="en-US" w:eastAsia="en-US"/>
              </w:rPr>
            </w:pPr>
            <w:r>
              <w:rPr>
                <w:szCs w:val="28"/>
                <w:lang w:eastAsia="en-US"/>
              </w:rPr>
              <w:t xml:space="preserve">Секретарь общего собрания</w:t>
            </w:r>
            <w:r>
              <w:rPr>
                <w:szCs w:val="28"/>
                <w:lang w:val="en-US" w:eastAsia="en-US"/>
              </w:rPr>
            </w:r>
            <w:r>
              <w:rPr>
                <w:szCs w:val="28"/>
                <w:lang w:val="en-US" w:eastAsia="en-US"/>
              </w:rPr>
            </w:r>
          </w:p>
        </w:tc>
        <w:tc>
          <w:tcPr>
            <w:tcW w:w="404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Синев Алексей Васильевич</w:t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Borders>
              <w:bottom w:val="single" w:color="000000" w:sz="8" w:space="0"/>
            </w:tcBorders>
            <w:tcW w:w="234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</w:tr>
      <w:tr>
        <w:tblPrEx/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947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  <w:r>
              <w:rPr>
                <w:szCs w:val="28"/>
                <w:lang w:eastAsia="en-US"/>
              </w:rPr>
            </w:r>
          </w:p>
        </w:tc>
        <w:tc>
          <w:tcPr>
            <w:tcW w:w="4040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(ФИО)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8" w:space="0"/>
            </w:tcBorders>
            <w:tcW w:w="2341" w:type="dxa"/>
            <w:vAlign w:val="top"/>
            <w:textDirection w:val="lrTb"/>
            <w:noWrap w:val="false"/>
          </w:tcPr>
          <w:p>
            <w:pPr>
              <w:pStyle w:val="94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подпись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</w:tbl>
    <w:sectPr>
      <w:headerReference w:type="default" r:id="rId13"/>
      <w:footnotePr>
        <w:pos w:val="beneathText"/>
      </w:footnotePr>
      <w:endnotePr/>
      <w:type w:val="nextPage"/>
      <w:pgSz w:w="11906" w:h="16838" w:orient="portrait"/>
      <w:pgMar w:top="567" w:right="709" w:bottom="567" w:left="1701" w:header="567" w:footer="56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3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  <w:jc w:val="right"/>
    </w:pPr>
    <w:r/>
    <w:r/>
  </w:p>
  <w:p>
    <w:pPr>
      <w:pStyle w:val="93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  <w:r>
      <w:rPr>
        <w:i/>
        <w:sz w:val="16"/>
        <w:szCs w:val="16"/>
        <w:lang w:val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3">
    <w:name w:val="Heading 1"/>
    <w:basedOn w:val="931"/>
    <w:next w:val="931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4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>
    <w:name w:val="Heading 2"/>
    <w:basedOn w:val="931"/>
    <w:next w:val="931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6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>
    <w:name w:val="Heading 3"/>
    <w:basedOn w:val="931"/>
    <w:next w:val="931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8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>
    <w:name w:val="Heading 4"/>
    <w:basedOn w:val="931"/>
    <w:next w:val="931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>
    <w:name w:val="Heading 5"/>
    <w:basedOn w:val="931"/>
    <w:next w:val="931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>
    <w:name w:val="Heading 6"/>
    <w:basedOn w:val="931"/>
    <w:next w:val="931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>
    <w:name w:val="Heading 7"/>
    <w:basedOn w:val="931"/>
    <w:next w:val="931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>
    <w:name w:val="Heading 8"/>
    <w:basedOn w:val="931"/>
    <w:next w:val="931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>
    <w:name w:val="Heading 9"/>
    <w:basedOn w:val="931"/>
    <w:next w:val="931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931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pPr>
      <w:spacing w:before="0" w:after="0" w:line="240" w:lineRule="auto"/>
    </w:pPr>
  </w:style>
  <w:style w:type="paragraph" w:styleId="773">
    <w:name w:val="Title"/>
    <w:basedOn w:val="931"/>
    <w:next w:val="931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>
    <w:name w:val="Title Char"/>
    <w:link w:val="773"/>
    <w:uiPriority w:val="10"/>
    <w:rPr>
      <w:sz w:val="48"/>
      <w:szCs w:val="48"/>
    </w:rPr>
  </w:style>
  <w:style w:type="paragraph" w:styleId="775">
    <w:name w:val="Subtitle"/>
    <w:basedOn w:val="931"/>
    <w:next w:val="931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>
    <w:name w:val="Subtitle Char"/>
    <w:link w:val="775"/>
    <w:uiPriority w:val="11"/>
    <w:rPr>
      <w:sz w:val="24"/>
      <w:szCs w:val="24"/>
    </w:rPr>
  </w:style>
  <w:style w:type="paragraph" w:styleId="777">
    <w:name w:val="Quote"/>
    <w:basedOn w:val="931"/>
    <w:next w:val="931"/>
    <w:link w:val="778"/>
    <w:uiPriority w:val="29"/>
    <w:qFormat/>
    <w:pPr>
      <w:ind w:left="720" w:right="720"/>
    </w:pPr>
    <w:rPr>
      <w:i/>
    </w:rPr>
  </w:style>
  <w:style w:type="character" w:styleId="778">
    <w:name w:val="Quote Char"/>
    <w:link w:val="777"/>
    <w:uiPriority w:val="29"/>
    <w:rPr>
      <w:i/>
    </w:rPr>
  </w:style>
  <w:style w:type="paragraph" w:styleId="779">
    <w:name w:val="Intense Quote"/>
    <w:basedOn w:val="931"/>
    <w:next w:val="931"/>
    <w:link w:val="7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>
    <w:name w:val="Intense Quote Char"/>
    <w:link w:val="779"/>
    <w:uiPriority w:val="30"/>
    <w:rPr>
      <w:i/>
    </w:rPr>
  </w:style>
  <w:style w:type="paragraph" w:styleId="781">
    <w:name w:val="Header"/>
    <w:basedOn w:val="931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>
    <w:name w:val="Header Char"/>
    <w:link w:val="781"/>
    <w:uiPriority w:val="99"/>
  </w:style>
  <w:style w:type="paragraph" w:styleId="783">
    <w:name w:val="Footer"/>
    <w:basedOn w:val="931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>
    <w:name w:val="Footer Char"/>
    <w:link w:val="783"/>
    <w:uiPriority w:val="99"/>
  </w:style>
  <w:style w:type="paragraph" w:styleId="785">
    <w:name w:val="Caption"/>
    <w:basedOn w:val="931"/>
    <w:next w:val="9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783"/>
    <w:uiPriority w:val="99"/>
  </w:style>
  <w:style w:type="table" w:styleId="7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3">
    <w:name w:val="Hyperlink"/>
    <w:uiPriority w:val="99"/>
    <w:unhideWhenUsed/>
    <w:rPr>
      <w:color w:val="0000ff" w:themeColor="hyperlink"/>
      <w:u w:val="single"/>
    </w:rPr>
  </w:style>
  <w:style w:type="paragraph" w:styleId="914">
    <w:name w:val="footnote text"/>
    <w:basedOn w:val="931"/>
    <w:link w:val="915"/>
    <w:uiPriority w:val="99"/>
    <w:semiHidden/>
    <w:unhideWhenUsed/>
    <w:pPr>
      <w:spacing w:after="40" w:line="240" w:lineRule="auto"/>
    </w:pPr>
    <w:rPr>
      <w:sz w:val="18"/>
    </w:rPr>
  </w:style>
  <w:style w:type="character" w:styleId="915">
    <w:name w:val="Footnote Text Char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931"/>
    <w:link w:val="918"/>
    <w:uiPriority w:val="99"/>
    <w:semiHidden/>
    <w:unhideWhenUsed/>
    <w:pPr>
      <w:spacing w:after="0" w:line="240" w:lineRule="auto"/>
    </w:pPr>
    <w:rPr>
      <w:sz w:val="20"/>
    </w:rPr>
  </w:style>
  <w:style w:type="character" w:styleId="918">
    <w:name w:val="Endnote Text Char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931"/>
    <w:next w:val="931"/>
    <w:uiPriority w:val="39"/>
    <w:unhideWhenUsed/>
    <w:pPr>
      <w:ind w:left="0" w:right="0" w:firstLine="0"/>
      <w:spacing w:after="57"/>
    </w:pPr>
  </w:style>
  <w:style w:type="paragraph" w:styleId="921">
    <w:name w:val="toc 2"/>
    <w:basedOn w:val="931"/>
    <w:next w:val="931"/>
    <w:uiPriority w:val="39"/>
    <w:unhideWhenUsed/>
    <w:pPr>
      <w:ind w:left="283" w:right="0" w:firstLine="0"/>
      <w:spacing w:after="57"/>
    </w:pPr>
  </w:style>
  <w:style w:type="paragraph" w:styleId="922">
    <w:name w:val="toc 3"/>
    <w:basedOn w:val="931"/>
    <w:next w:val="931"/>
    <w:uiPriority w:val="39"/>
    <w:unhideWhenUsed/>
    <w:pPr>
      <w:ind w:left="567" w:right="0" w:firstLine="0"/>
      <w:spacing w:after="57"/>
    </w:pPr>
  </w:style>
  <w:style w:type="paragraph" w:styleId="923">
    <w:name w:val="toc 4"/>
    <w:basedOn w:val="931"/>
    <w:next w:val="931"/>
    <w:uiPriority w:val="39"/>
    <w:unhideWhenUsed/>
    <w:pPr>
      <w:ind w:left="850" w:right="0" w:firstLine="0"/>
      <w:spacing w:after="57"/>
    </w:pPr>
  </w:style>
  <w:style w:type="paragraph" w:styleId="924">
    <w:name w:val="toc 5"/>
    <w:basedOn w:val="931"/>
    <w:next w:val="931"/>
    <w:uiPriority w:val="39"/>
    <w:unhideWhenUsed/>
    <w:pPr>
      <w:ind w:left="1134" w:right="0" w:firstLine="0"/>
      <w:spacing w:after="57"/>
    </w:pPr>
  </w:style>
  <w:style w:type="paragraph" w:styleId="925">
    <w:name w:val="toc 6"/>
    <w:basedOn w:val="931"/>
    <w:next w:val="931"/>
    <w:uiPriority w:val="39"/>
    <w:unhideWhenUsed/>
    <w:pPr>
      <w:ind w:left="1417" w:right="0" w:firstLine="0"/>
      <w:spacing w:after="57"/>
    </w:pPr>
  </w:style>
  <w:style w:type="paragraph" w:styleId="926">
    <w:name w:val="toc 7"/>
    <w:basedOn w:val="931"/>
    <w:next w:val="931"/>
    <w:uiPriority w:val="39"/>
    <w:unhideWhenUsed/>
    <w:pPr>
      <w:ind w:left="1701" w:right="0" w:firstLine="0"/>
      <w:spacing w:after="57"/>
    </w:pPr>
  </w:style>
  <w:style w:type="paragraph" w:styleId="927">
    <w:name w:val="toc 8"/>
    <w:basedOn w:val="931"/>
    <w:next w:val="931"/>
    <w:uiPriority w:val="39"/>
    <w:unhideWhenUsed/>
    <w:pPr>
      <w:ind w:left="1984" w:right="0" w:firstLine="0"/>
      <w:spacing w:after="57"/>
    </w:pPr>
  </w:style>
  <w:style w:type="paragraph" w:styleId="928">
    <w:name w:val="toc 9"/>
    <w:basedOn w:val="931"/>
    <w:next w:val="931"/>
    <w:uiPriority w:val="39"/>
    <w:unhideWhenUsed/>
    <w:pPr>
      <w:ind w:left="2268" w:right="0" w:firstLine="0"/>
      <w:spacing w:after="57"/>
    </w:pPr>
  </w:style>
  <w:style w:type="paragraph" w:styleId="929">
    <w:name w:val="TOC Heading"/>
    <w:uiPriority w:val="39"/>
    <w:unhideWhenUsed/>
  </w:style>
  <w:style w:type="paragraph" w:styleId="930">
    <w:name w:val="table of figures"/>
    <w:basedOn w:val="931"/>
    <w:next w:val="931"/>
    <w:uiPriority w:val="99"/>
    <w:unhideWhenUsed/>
    <w:pPr>
      <w:spacing w:after="0" w:afterAutospacing="0"/>
    </w:pPr>
  </w:style>
  <w:style w:type="paragraph" w:styleId="931" w:default="1">
    <w:name w:val="Normal"/>
    <w:next w:val="931"/>
    <w:link w:val="931"/>
    <w:qFormat/>
    <w:rPr>
      <w:sz w:val="24"/>
      <w:szCs w:val="24"/>
      <w:lang w:val="ru-RU" w:eastAsia="ru-RU" w:bidi="ar-SA"/>
    </w:rPr>
  </w:style>
  <w:style w:type="character" w:styleId="932">
    <w:name w:val="Основной шрифт абзаца"/>
    <w:next w:val="932"/>
    <w:link w:val="931"/>
    <w:semiHidden/>
  </w:style>
  <w:style w:type="table" w:styleId="933">
    <w:name w:val="Обычная таблица"/>
    <w:next w:val="933"/>
    <w:link w:val="931"/>
    <w:semiHidden/>
    <w:tblPr/>
  </w:style>
  <w:style w:type="numbering" w:styleId="934">
    <w:name w:val="Нет списка"/>
    <w:next w:val="934"/>
    <w:link w:val="931"/>
    <w:semiHidden/>
  </w:style>
  <w:style w:type="paragraph" w:styleId="935">
    <w:name w:val="Верхний колонтитул"/>
    <w:basedOn w:val="936"/>
    <w:next w:val="935"/>
    <w:link w:val="937"/>
    <w:uiPriority w:val="99"/>
    <w:pPr>
      <w:tabs>
        <w:tab w:val="center" w:pos="4677" w:leader="none"/>
        <w:tab w:val="right" w:pos="9355" w:leader="none"/>
      </w:tabs>
    </w:pPr>
  </w:style>
  <w:style w:type="paragraph" w:styleId="936">
    <w:name w:val="Normal_0"/>
    <w:next w:val="936"/>
    <w:link w:val="931"/>
    <w:qFormat/>
    <w:rPr>
      <w:sz w:val="24"/>
      <w:szCs w:val="24"/>
      <w:lang w:val="ru-RU" w:eastAsia="ru-RU" w:bidi="ar-SA"/>
    </w:rPr>
  </w:style>
  <w:style w:type="character" w:styleId="937">
    <w:name w:val="Верхний колонтитул Знак"/>
    <w:next w:val="937"/>
    <w:link w:val="935"/>
    <w:uiPriority w:val="99"/>
    <w:semiHidden/>
    <w:rPr>
      <w:rFonts w:cs="Times New Roman"/>
      <w:sz w:val="24"/>
      <w:szCs w:val="24"/>
    </w:rPr>
  </w:style>
  <w:style w:type="paragraph" w:styleId="938">
    <w:name w:val="Нижний колонтитул"/>
    <w:basedOn w:val="936"/>
    <w:next w:val="938"/>
    <w:link w:val="939"/>
    <w:uiPriority w:val="99"/>
    <w:pPr>
      <w:tabs>
        <w:tab w:val="center" w:pos="4677" w:leader="none"/>
        <w:tab w:val="right" w:pos="9355" w:leader="none"/>
      </w:tabs>
    </w:pPr>
  </w:style>
  <w:style w:type="character" w:styleId="939">
    <w:name w:val="Нижний колонтитул Знак"/>
    <w:next w:val="939"/>
    <w:link w:val="938"/>
    <w:uiPriority w:val="99"/>
    <w:rPr>
      <w:rFonts w:cs="Times New Roman"/>
      <w:sz w:val="24"/>
      <w:szCs w:val="24"/>
    </w:rPr>
  </w:style>
  <w:style w:type="paragraph" w:styleId="940">
    <w:name w:val="Header_0"/>
    <w:basedOn w:val="941"/>
    <w:next w:val="940"/>
    <w:link w:val="942"/>
    <w:uiPriority w:val="99"/>
    <w:pPr>
      <w:tabs>
        <w:tab w:val="center" w:pos="4677" w:leader="none"/>
        <w:tab w:val="right" w:pos="9355" w:leader="none"/>
      </w:tabs>
    </w:pPr>
  </w:style>
  <w:style w:type="paragraph" w:styleId="941">
    <w:name w:val="Normal_1"/>
    <w:next w:val="941"/>
    <w:link w:val="931"/>
    <w:qFormat/>
    <w:rPr>
      <w:sz w:val="24"/>
      <w:szCs w:val="24"/>
      <w:lang w:val="ru-RU" w:eastAsia="ru-RU" w:bidi="ar-SA"/>
    </w:rPr>
  </w:style>
  <w:style w:type="character" w:styleId="942">
    <w:name w:val="Верхний колонтитул Знак_0"/>
    <w:next w:val="942"/>
    <w:link w:val="940"/>
    <w:uiPriority w:val="99"/>
    <w:semiHidden/>
    <w:rPr>
      <w:rFonts w:cs="Times New Roman"/>
      <w:sz w:val="24"/>
      <w:szCs w:val="24"/>
    </w:rPr>
  </w:style>
  <w:style w:type="paragraph" w:styleId="943">
    <w:name w:val="Header_1"/>
    <w:basedOn w:val="944"/>
    <w:next w:val="943"/>
    <w:link w:val="945"/>
    <w:uiPriority w:val="99"/>
    <w:pPr>
      <w:tabs>
        <w:tab w:val="center" w:pos="4677" w:leader="none"/>
        <w:tab w:val="right" w:pos="9355" w:leader="none"/>
      </w:tabs>
    </w:pPr>
  </w:style>
  <w:style w:type="paragraph" w:styleId="944">
    <w:name w:val="Normal_2"/>
    <w:next w:val="944"/>
    <w:link w:val="931"/>
    <w:qFormat/>
    <w:rPr>
      <w:sz w:val="24"/>
      <w:szCs w:val="24"/>
      <w:lang w:val="ru-RU" w:eastAsia="ru-RU" w:bidi="ar-SA"/>
    </w:rPr>
  </w:style>
  <w:style w:type="character" w:styleId="945">
    <w:name w:val="Верхний колонтитул Знак_1"/>
    <w:next w:val="945"/>
    <w:link w:val="943"/>
    <w:uiPriority w:val="99"/>
    <w:semiHidden/>
    <w:rPr>
      <w:rFonts w:cs="Times New Roman"/>
      <w:sz w:val="24"/>
      <w:szCs w:val="24"/>
    </w:rPr>
  </w:style>
  <w:style w:type="paragraph" w:styleId="946">
    <w:name w:val="Normal_3"/>
    <w:next w:val="946"/>
    <w:link w:val="931"/>
    <w:qFormat/>
    <w:rPr>
      <w:rFonts w:eastAsia="Calibri"/>
      <w:sz w:val="28"/>
      <w:lang w:val="ru-RU" w:eastAsia="ru-RU" w:bidi="ar-SA"/>
    </w:rPr>
  </w:style>
  <w:style w:type="paragraph" w:styleId="947">
    <w:name w:val="Normal_4"/>
    <w:next w:val="947"/>
    <w:link w:val="931"/>
    <w:qFormat/>
    <w:rPr>
      <w:rFonts w:eastAsia="Calibri"/>
      <w:sz w:val="28"/>
      <w:lang w:val="ru-RU" w:eastAsia="ru-RU" w:bidi="ar-SA"/>
    </w:rPr>
  </w:style>
  <w:style w:type="table" w:styleId="948">
    <w:name w:val="Сетка таблицы"/>
    <w:basedOn w:val="933"/>
    <w:next w:val="948"/>
    <w:link w:val="931"/>
    <w:uiPriority w:val="59"/>
    <w:pPr>
      <w:spacing w:after="0" w:line="240" w:lineRule="auto"/>
    </w:pPr>
    <w:rPr>
      <w:rFonts w:eastAsia="Calibri" w:cs="Times New Roman"/>
    </w:rPr>
    <w:tblPr/>
  </w:style>
  <w:style w:type="paragraph" w:styleId="949">
    <w:name w:val="Normal_5"/>
    <w:next w:val="949"/>
    <w:link w:val="931"/>
    <w:qFormat/>
    <w:rPr>
      <w:rFonts w:eastAsia="Calibri"/>
      <w:sz w:val="28"/>
      <w:lang w:val="ru-RU" w:eastAsia="ru-RU" w:bidi="ar-SA"/>
    </w:rPr>
  </w:style>
  <w:style w:type="character" w:styleId="950" w:default="1">
    <w:name w:val="Default Paragraph Font"/>
    <w:uiPriority w:val="1"/>
    <w:semiHidden/>
    <w:unhideWhenUsed/>
  </w:style>
  <w:style w:type="numbering" w:styleId="951" w:default="1">
    <w:name w:val="No List"/>
    <w:uiPriority w:val="99"/>
    <w:semiHidden/>
    <w:unhideWhenUsed/>
  </w:style>
  <w:style w:type="table" w:styleId="9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Чистова Ирина Юрьевна</dc:creator>
  <cp:lastModifiedBy>id10277</cp:lastModifiedBy>
  <cp:revision>5</cp:revision>
  <dcterms:created xsi:type="dcterms:W3CDTF">2025-02-17T07:44:00Z</dcterms:created>
  <dcterms:modified xsi:type="dcterms:W3CDTF">2025-02-17T09:09:02Z</dcterms:modified>
  <cp:version>1048576</cp:version>
</cp:coreProperties>
</file>