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0"/>
        <w:jc w:val="center"/>
        <w:rPr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ДОГОВОР № _____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70"/>
        <w:jc w:val="center"/>
        <w:rPr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об оказании услуг (выполнении работ) 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70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по установке, замене и ремонту  газового оборудования </w:t>
      </w:r>
      <w:r>
        <w:rPr>
          <w:b/>
          <w:color w:val="000000"/>
          <w:sz w:val="18"/>
          <w:szCs w:val="18"/>
        </w:rPr>
      </w:r>
      <w:r>
        <w:rPr>
          <w:b/>
          <w:color w:val="000000"/>
          <w:sz w:val="18"/>
          <w:szCs w:val="18"/>
        </w:rPr>
      </w:r>
    </w:p>
    <w:p>
      <w:pPr>
        <w:pStyle w:val="870"/>
        <w:jc w:val="center"/>
        <w:rPr>
          <w:b/>
          <w:color w:val="000000"/>
          <w:sz w:val="8"/>
          <w:szCs w:val="8"/>
        </w:rPr>
      </w:pPr>
      <w:r>
        <w:rPr>
          <w:b/>
          <w:color w:val="000000"/>
          <w:sz w:val="8"/>
          <w:szCs w:val="8"/>
        </w:rPr>
      </w:r>
      <w:r>
        <w:rPr>
          <w:b/>
          <w:color w:val="000000"/>
          <w:sz w:val="8"/>
          <w:szCs w:val="8"/>
        </w:rPr>
      </w:r>
      <w:r>
        <w:rPr>
          <w:b/>
          <w:color w:val="000000"/>
          <w:sz w:val="8"/>
          <w:szCs w:val="8"/>
        </w:rPr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36"/>
        <w:gridCol w:w="5616"/>
      </w:tblGrid>
      <w:tr>
        <w:trPr>
          <w:trHeight w:val="265"/>
        </w:trPr>
        <w:tblPrEx/>
        <w:tc>
          <w:tcPr>
            <w:tcW w:w="503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1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7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«_____» ________________ 20____ г.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pStyle w:val="870"/>
        <w:widowControl w:val="off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Акционерное общество «Газпром газораспределение Пермь»</w:t>
      </w:r>
      <w:r>
        <w:rPr>
          <w:sz w:val="18"/>
          <w:szCs w:val="18"/>
        </w:rPr>
        <w:t xml:space="preserve">, именуемое в дальнейшем Исполнитель, в лице ____________________________________________________________, действующего на основании до</w:t>
      </w:r>
      <w:r>
        <w:rPr>
          <w:sz w:val="18"/>
          <w:szCs w:val="18"/>
        </w:rPr>
        <w:t xml:space="preserve">веренности ___________________, с одной стороны, и __________________________________________________________________________, именуемый (-ая) в дальнейшем Заказчик, с другой стороны, вместе именуемые Сторонами, заключили настоящий договор о нижеследующем: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70"/>
        <w:widowControl w:val="off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70"/>
        <w:numPr>
          <w:numId w:val="2"/>
          <w:ilvl w:val="0"/>
        </w:numPr>
        <w:ind w:left="0" w:firstLine="0"/>
        <w:contextualSpacing/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Предмет договора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930"/>
        <w:numPr>
          <w:numId w:val="3"/>
          <w:ilvl w:val="2"/>
        </w:numPr>
        <w:spacing w:line="228" w:lineRule="auto"/>
        <w:ind w:left="0" w:firstLine="0"/>
        <w:jc w:val="both"/>
        <w:rPr>
          <w:sz w:val="18"/>
          <w:szCs w:val="18"/>
        </w:rPr>
      </w:pPr>
      <w:bookmarkStart w:id="0" w:name="sub_1001"/>
      <w:r>
        <w:rPr>
          <w:sz w:val="18"/>
          <w:szCs w:val="18"/>
          <w:lang w:eastAsia="en-US"/>
        </w:rPr>
        <w:t xml:space="preserve">Исполнитель на основании обращения Заказчика выполняет работы (оказывает услуги) </w:t>
      </w:r>
      <w:bookmarkEnd w:id="0"/>
      <w:r>
        <w:rPr>
          <w:sz w:val="18"/>
          <w:szCs w:val="18"/>
          <w:lang w:eastAsia="en-US"/>
        </w:rPr>
        <w:t xml:space="preserve">по установке, замене и ремонту</w:t>
      </w:r>
      <w:r>
        <w:rPr>
          <w:b/>
          <w:sz w:val="18"/>
          <w:szCs w:val="18"/>
          <w:lang w:eastAsia="en-US"/>
        </w:rPr>
        <w:t xml:space="preserve"> </w:t>
      </w:r>
      <w:r>
        <w:rPr>
          <w:rStyle w:val="913"/>
          <w:b w:val="0"/>
          <w:bCs/>
          <w:sz w:val="18"/>
          <w:szCs w:val="18"/>
        </w:rPr>
        <w:t xml:space="preserve">внутриквартирного газового оборудования в многоквартирном доме/внутридомового газового оборудования в жилом доме (домовладении)</w:t>
      </w:r>
      <w:r>
        <w:rPr>
          <w:b/>
          <w:sz w:val="18"/>
          <w:szCs w:val="18"/>
          <w:lang w:eastAsia="en-US"/>
        </w:rPr>
        <w:t xml:space="preserve">,</w:t>
      </w:r>
      <w:r>
        <w:rPr>
          <w:sz w:val="18"/>
          <w:szCs w:val="18"/>
          <w:lang w:eastAsia="en-US"/>
        </w:rPr>
        <w:t xml:space="preserve"> расположенного по адресу:</w:t>
      </w:r>
      <w:r>
        <w:rPr>
          <w:rStyle w:val="913"/>
          <w:b w:val="0"/>
          <w:bCs/>
          <w:sz w:val="18"/>
          <w:szCs w:val="18"/>
        </w:rPr>
        <w:t xml:space="preserve">________________________________________</w:t>
      </w:r>
      <w:r>
        <w:rPr>
          <w:sz w:val="18"/>
          <w:szCs w:val="18"/>
          <w:lang w:eastAsia="en-US"/>
        </w:rPr>
        <w:t xml:space="preserve"> (далее – работы (услуги), ВКГО/ВДГО соответственно), в соответствии с условиями настоящего договора, а Заказчик принимает и оплачивает выполненные работы (оказанные услуги) в порядке и на условиях, преду</w:t>
      </w:r>
      <w:bookmarkStart w:id="1" w:name="sub_1002"/>
      <w:r>
        <w:rPr>
          <w:sz w:val="18"/>
          <w:szCs w:val="18"/>
          <w:lang w:eastAsia="en-US"/>
        </w:rPr>
        <w:t xml:space="preserve">смотренных настоящим договором.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930"/>
        <w:numPr>
          <w:numId w:val="3"/>
          <w:ilvl w:val="2"/>
        </w:numPr>
        <w:spacing w:line="228" w:lineRule="auto"/>
        <w:ind w:left="0" w:firstLine="0"/>
        <w:jc w:val="both"/>
        <w:rPr>
          <w:sz w:val="18"/>
          <w:szCs w:val="18"/>
        </w:rPr>
      </w:pPr>
      <w:r>
        <w:rPr>
          <w:sz w:val="18"/>
          <w:szCs w:val="18"/>
          <w:lang w:eastAsia="en-US"/>
        </w:rPr>
        <w:t xml:space="preserve">Выполнение работ (оказание услуг) осуществляется в порядке, предусмотренном Правилами пользования газом в части обеспечения безопасности пр</w:t>
      </w:r>
      <w:r>
        <w:rPr>
          <w:sz w:val="18"/>
          <w:szCs w:val="18"/>
          <w:lang w:eastAsia="en-US"/>
        </w:rPr>
        <w:t xml:space="preserve">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утверждёнными постановлением Правительства Российской Федерации от 14.05.2013 № 410 (далее – Правила пользования </w:t>
      </w:r>
      <w:r>
        <w:rPr>
          <w:color w:val="000000"/>
          <w:sz w:val="18"/>
          <w:szCs w:val="18"/>
          <w:lang w:eastAsia="en-US"/>
        </w:rPr>
        <w:t xml:space="preserve">газом), иными нормативными правовыми актами.</w:t>
      </w:r>
      <w:bookmarkEnd w:id="1"/>
      <w:bookmarkStart w:id="2" w:name="sub_1003"/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930"/>
        <w:numPr>
          <w:numId w:val="3"/>
          <w:ilvl w:val="2"/>
        </w:numPr>
        <w:spacing w:line="228" w:lineRule="auto"/>
        <w:ind w:left="0" w:firstLine="0"/>
        <w:jc w:val="both"/>
        <w:rPr>
          <w:sz w:val="18"/>
          <w:szCs w:val="18"/>
        </w:rPr>
      </w:pPr>
      <w:r>
        <w:rPr>
          <w:color w:val="000000"/>
          <w:sz w:val="18"/>
          <w:szCs w:val="18"/>
          <w:lang w:eastAsia="en-US"/>
        </w:rPr>
        <w:t xml:space="preserve">Перечень работ (услуг),</w:t>
      </w:r>
      <w:bookmarkEnd w:id="2"/>
      <w:r>
        <w:rPr>
          <w:color w:val="000000"/>
          <w:sz w:val="18"/>
          <w:szCs w:val="18"/>
          <w:lang w:eastAsia="en-US"/>
        </w:rPr>
        <w:t xml:space="preserve"> их стоимость устанавл</w:t>
      </w:r>
      <w:r>
        <w:rPr>
          <w:sz w:val="18"/>
          <w:szCs w:val="18"/>
          <w:lang w:eastAsia="en-US"/>
        </w:rPr>
        <w:t xml:space="preserve">иваются в акте сдачи-приёмки выполненных ра</w:t>
      </w:r>
      <w:r>
        <w:rPr>
          <w:sz w:val="18"/>
          <w:szCs w:val="18"/>
          <w:lang w:eastAsia="en-US"/>
        </w:rPr>
        <w:t xml:space="preserve">бот (оказанных услуг) (далее – А</w:t>
      </w:r>
      <w:r>
        <w:rPr>
          <w:sz w:val="18"/>
          <w:szCs w:val="18"/>
          <w:lang w:eastAsia="en-US"/>
        </w:rPr>
        <w:t xml:space="preserve">кт</w:t>
      </w:r>
      <w:r>
        <w:rPr>
          <w:sz w:val="18"/>
          <w:szCs w:val="18"/>
        </w:rPr>
        <w:t xml:space="preserve">)</w:t>
      </w:r>
      <w:r>
        <w:rPr>
          <w:sz w:val="18"/>
          <w:szCs w:val="18"/>
          <w:lang w:eastAsia="en-US"/>
        </w:rPr>
        <w:t xml:space="preserve">. 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930"/>
        <w:tabs>
          <w:tab w:val="left" w:pos="426" w:leader="none"/>
        </w:tabs>
        <w:spacing w:line="228" w:lineRule="auto"/>
        <w:ind w:left="0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</w:r>
      <w:r>
        <w:rPr>
          <w:sz w:val="18"/>
          <w:szCs w:val="18"/>
          <w:lang w:eastAsia="en-US"/>
        </w:rPr>
      </w:r>
      <w:r>
        <w:rPr>
          <w:sz w:val="18"/>
          <w:szCs w:val="18"/>
          <w:lang w:eastAsia="en-US"/>
        </w:rPr>
      </w:r>
    </w:p>
    <w:p>
      <w:pPr>
        <w:pStyle w:val="870"/>
        <w:numPr>
          <w:numId w:val="2"/>
          <w:ilvl w:val="0"/>
        </w:numPr>
        <w:ind w:left="0" w:firstLine="0"/>
        <w:contextualSpacing/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Порядок оказания услуг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70"/>
        <w:numPr>
          <w:numId w:val="12"/>
          <w:ilvl w:val="0"/>
        </w:numPr>
        <w:ind w:left="0" w:firstLine="0"/>
        <w:contextualSpacing/>
        <w:jc w:val="both"/>
        <w:rPr>
          <w:sz w:val="18"/>
          <w:szCs w:val="18"/>
        </w:rPr>
      </w:pPr>
      <w:r>
        <w:rPr>
          <w:sz w:val="18"/>
          <w:szCs w:val="18"/>
          <w:lang w:eastAsia="en-US"/>
        </w:rPr>
        <w:t xml:space="preserve">Работы (услуги) считаются выполненными после подписания Акта. Акт составляется в 2 экземплярах, подписывается сотрудником Исполнителя, проводившим работы (оказавшим услуги), и Заказчиком. Один экземпляр акта остаётся у Заказчика. 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70"/>
        <w:numPr>
          <w:numId w:val="12"/>
          <w:ilvl w:val="0"/>
        </w:numPr>
        <w:ind w:left="0" w:firstLine="0"/>
        <w:contextualSpacing/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В случае отказа Заказчика от подписания акта </w:t>
      </w:r>
      <w:r>
        <w:rPr>
          <w:sz w:val="18"/>
          <w:szCs w:val="18"/>
        </w:rPr>
        <w:t xml:space="preserve">сдачи-</w:t>
      </w:r>
      <w:r>
        <w:rPr>
          <w:sz w:val="18"/>
          <w:szCs w:val="18"/>
        </w:rPr>
        <w:t xml:space="preserve">приёмки</w:t>
      </w:r>
      <w:r>
        <w:rPr>
          <w:sz w:val="18"/>
          <w:szCs w:val="18"/>
        </w:rPr>
        <w:t xml:space="preserve"> выполненных работ (оказанных услуг) без указания мотивированного возражения, </w:t>
      </w:r>
      <w:r>
        <w:rPr>
          <w:sz w:val="18"/>
          <w:szCs w:val="18"/>
        </w:rPr>
        <w:t xml:space="preserve">Акт, </w:t>
      </w:r>
      <w:r>
        <w:rPr>
          <w:sz w:val="18"/>
          <w:szCs w:val="18"/>
        </w:rPr>
        <w:t xml:space="preserve">подписанный со стороны Исполнителя, считается надлежаще оформленным, а работы (услуги) считаются принятыми. 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70"/>
        <w:numPr>
          <w:numId w:val="12"/>
          <w:ilvl w:val="0"/>
        </w:numPr>
        <w:ind w:left="0" w:firstLine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Гарантийный срок на выполненные работы (оказанные услуги) составляет один месяц </w:t>
      </w:r>
      <w:r>
        <w:rPr>
          <w:sz w:val="18"/>
          <w:szCs w:val="18"/>
        </w:rPr>
        <w:t xml:space="preserve">с момента подписания акта сдачи-приёмки выполненных работ (оказанных услуг).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7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70"/>
        <w:numPr>
          <w:numId w:val="2"/>
          <w:ilvl w:val="0"/>
        </w:numPr>
        <w:ind w:left="0" w:firstLine="0"/>
        <w:contextualSpacing/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Права и обязанности сторон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70"/>
        <w:numPr>
          <w:numId w:val="6"/>
          <w:ilvl w:val="0"/>
        </w:numPr>
        <w:ind w:left="0" w:firstLine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Исполнитель обязан: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70"/>
        <w:numPr>
          <w:numId w:val="10"/>
          <w:ilvl w:val="0"/>
        </w:numPr>
        <w:ind w:left="0" w:firstLine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Выполнить</w:t>
      </w:r>
      <w:r>
        <w:rPr>
          <w:sz w:val="18"/>
          <w:szCs w:val="18"/>
        </w:rPr>
        <w:t xml:space="preserve"> работы (оказать услуги),</w:t>
      </w:r>
      <w:r>
        <w:rPr>
          <w:sz w:val="18"/>
          <w:szCs w:val="18"/>
        </w:rPr>
        <w:t xml:space="preserve"> указанные в п. 1.1. настоящего договора. Информировать Заказчика о порядке выполнения (оказания) и стоимости работ (услуг).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70"/>
        <w:numPr>
          <w:numId w:val="6"/>
          <w:ilvl w:val="0"/>
        </w:numPr>
        <w:ind w:left="0" w:firstLine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Исполнитель </w:t>
      </w:r>
      <w:r>
        <w:rPr>
          <w:sz w:val="18"/>
          <w:szCs w:val="18"/>
        </w:rPr>
        <w:t xml:space="preserve">вправе</w:t>
      </w:r>
      <w:r>
        <w:rPr>
          <w:sz w:val="18"/>
          <w:szCs w:val="18"/>
        </w:rPr>
        <w:t xml:space="preserve">: 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70"/>
        <w:numPr>
          <w:numId w:val="8"/>
          <w:ilvl w:val="0"/>
        </w:numPr>
        <w:ind w:left="0" w:firstLine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Приостановить подачу газа в ВКГО/ВДГО Заказчика в случаях, предусмотренных разделом </w:t>
      </w:r>
      <w:r>
        <w:rPr>
          <w:sz w:val="18"/>
          <w:szCs w:val="18"/>
          <w:lang w:val="en-US"/>
        </w:rPr>
        <w:t xml:space="preserve">VIII</w:t>
      </w:r>
      <w:r>
        <w:rPr>
          <w:sz w:val="18"/>
          <w:szCs w:val="18"/>
        </w:rPr>
        <w:t xml:space="preserve"> Правил пользования газом;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70"/>
        <w:numPr>
          <w:numId w:val="8"/>
          <w:ilvl w:val="0"/>
        </w:numPr>
        <w:ind w:left="0" w:firstLine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Без уведомления Заказчика направить поставщику газа, а также в контролирующие государственные или муниципальные органы информацию о ненадлежащем содержании (эксплуатации) Заказчиком ВКГО/ВДГО;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70"/>
        <w:numPr>
          <w:numId w:val="8"/>
          <w:ilvl w:val="0"/>
        </w:numPr>
        <w:ind w:left="0" w:firstLine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Инициировать техническое диагностирование или замену ВКГО/ВДГО в связи с истечением нормативного срока службы.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70"/>
        <w:numPr>
          <w:numId w:val="6"/>
          <w:ilvl w:val="0"/>
        </w:numPr>
        <w:ind w:left="0" w:firstLine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Заказчик обязуется: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70"/>
        <w:numPr>
          <w:numId w:val="4"/>
          <w:ilvl w:val="0"/>
        </w:numPr>
        <w:ind w:left="0" w:firstLine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Эксплуатировать газоиспользующее оборудование в соответствии с требованиями завода-изготовителя и установленными для такого оборудования техническими требованиями;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70"/>
        <w:numPr>
          <w:numId w:val="4"/>
          <w:ilvl w:val="0"/>
        </w:numPr>
        <w:ind w:left="0" w:firstLine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Соблюдать Правила пользования газом;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70"/>
        <w:numPr>
          <w:numId w:val="4"/>
          <w:ilvl w:val="0"/>
        </w:numPr>
        <w:ind w:left="0" w:firstLine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Соблюдать Инструкцию по безопасному использованию газа при удовлетворении коммунально-бытовых нужд, утверждённую приказом Министерства строительства и жилищно-коммунального хозяйства Российской Федерации от 05.12.2017 № 1614/пр.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70"/>
        <w:numPr>
          <w:numId w:val="4"/>
          <w:ilvl w:val="0"/>
        </w:numPr>
        <w:ind w:left="0" w:firstLine="0"/>
        <w:contextualSpacing/>
        <w:jc w:val="both"/>
      </w:pPr>
      <w:r>
        <w:rPr>
          <w:sz w:val="18"/>
          <w:szCs w:val="18"/>
        </w:rPr>
        <w:t xml:space="preserve">Своевременно оплатить</w:t>
      </w:r>
      <w:r>
        <w:rPr>
          <w:sz w:val="18"/>
          <w:szCs w:val="18"/>
        </w:rPr>
        <w:t xml:space="preserve"> работы </w:t>
      </w:r>
      <w:r>
        <w:rPr>
          <w:bCs/>
          <w:sz w:val="18"/>
          <w:szCs w:val="18"/>
        </w:rPr>
        <w:t xml:space="preserve">(услуги) </w:t>
      </w:r>
      <w:r>
        <w:rPr>
          <w:sz w:val="18"/>
          <w:szCs w:val="18"/>
        </w:rPr>
        <w:t xml:space="preserve">в установленные сроки и в полном объёме. </w:t>
      </w:r>
    </w:p>
    <w:p>
      <w:pPr>
        <w:pStyle w:val="870"/>
        <w:numPr>
          <w:numId w:val="6"/>
          <w:ilvl w:val="0"/>
        </w:numPr>
        <w:ind w:left="0" w:firstLine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Заказчик вправе</w:t>
      </w:r>
      <w:r>
        <w:rPr>
          <w:sz w:val="18"/>
          <w:szCs w:val="18"/>
        </w:rPr>
        <w:t xml:space="preserve">: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70"/>
        <w:numPr>
          <w:numId w:val="7"/>
          <w:ilvl w:val="0"/>
        </w:numPr>
        <w:ind w:left="0" w:firstLine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Присутствовать и контролировать процесс </w:t>
      </w:r>
      <w:r>
        <w:rPr>
          <w:sz w:val="18"/>
          <w:szCs w:val="18"/>
        </w:rPr>
        <w:t xml:space="preserve">выполнения работ </w:t>
      </w:r>
      <w:r>
        <w:rPr>
          <w:sz w:val="18"/>
          <w:szCs w:val="18"/>
        </w:rPr>
        <w:t xml:space="preserve">(</w:t>
      </w:r>
      <w:r>
        <w:rPr>
          <w:sz w:val="18"/>
          <w:szCs w:val="18"/>
        </w:rPr>
        <w:t xml:space="preserve">оказания услуг</w:t>
      </w:r>
      <w:r>
        <w:rPr>
          <w:sz w:val="18"/>
          <w:szCs w:val="18"/>
        </w:rPr>
        <w:t xml:space="preserve">)</w:t>
      </w:r>
      <w:r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предусмотренных настоящим договором, проверять объёмы, качество выполнения работ (оказания услуг); 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70"/>
        <w:numPr>
          <w:numId w:val="7"/>
          <w:ilvl w:val="0"/>
        </w:numPr>
        <w:ind w:left="0" w:firstLine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Требовать от Исполнителя устранения выявленных дефектов, допущенных по вине Исполнителя, проверять полноту и своевременность их устранения.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7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70"/>
        <w:numPr>
          <w:numId w:val="2"/>
          <w:ilvl w:val="0"/>
        </w:numPr>
        <w:ind w:left="0" w:firstLine="0"/>
        <w:contextualSpacing/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Цена договора и порядок расчётов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70"/>
        <w:numPr>
          <w:numId w:val="5"/>
          <w:ilvl w:val="0"/>
        </w:numPr>
        <w:ind w:left="0" w:firstLine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Работы (услуги) оплачиваются Заказчиком в соответствии с расценками Прейскуранта Исполнителя, действующего на момент проведения работ по факту выполненных работ (оказанных услуг) не позднее дня оказания услуг. 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70"/>
        <w:numPr>
          <w:numId w:val="5"/>
          <w:ilvl w:val="0"/>
        </w:numPr>
        <w:ind w:left="0" w:firstLine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 </w:t>
      </w:r>
      <w:r>
        <w:rPr>
          <w:sz w:val="18"/>
          <w:szCs w:val="18"/>
        </w:rPr>
        <w:t xml:space="preserve">выполнении</w:t>
      </w:r>
      <w:r>
        <w:rPr>
          <w:sz w:val="18"/>
          <w:szCs w:val="18"/>
        </w:rPr>
        <w:t xml:space="preserve"> работ (оказании услуг)</w:t>
      </w:r>
      <w:r>
        <w:rPr>
          <w:sz w:val="18"/>
          <w:szCs w:val="18"/>
        </w:rPr>
        <w:t xml:space="preserve"> с использованием узлов и деталей Исполнителя Заказчик дополнительно оплачивает их стоимость.  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7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930"/>
        <w:numPr>
          <w:numId w:val="9"/>
          <w:ilvl w:val="0"/>
        </w:numPr>
        <w:spacing w:line="228" w:lineRule="auto"/>
        <w:ind w:left="0" w:firstLine="0"/>
        <w:jc w:val="center"/>
        <w:rPr>
          <w:sz w:val="18"/>
          <w:szCs w:val="18"/>
        </w:rPr>
      </w:pPr>
      <w:bookmarkStart w:id="3" w:name="sub_1500"/>
      <w:r>
        <w:rPr>
          <w:b/>
          <w:sz w:val="18"/>
          <w:szCs w:val="18"/>
        </w:rPr>
        <w:t xml:space="preserve">Срок действия, порядок изменения и расторжения договора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930"/>
        <w:numPr>
          <w:numId w:val="9"/>
          <w:ilvl w:val="1"/>
        </w:numPr>
        <w:tabs>
          <w:tab w:val="left" w:pos="709" w:leader="none"/>
        </w:tabs>
        <w:spacing w:line="228" w:lineRule="auto"/>
        <w:ind w:left="0" w:firstLine="0"/>
        <w:jc w:val="both"/>
        <w:rPr>
          <w:sz w:val="18"/>
          <w:szCs w:val="18"/>
        </w:rPr>
      </w:pPr>
      <w:bookmarkEnd w:id="3"/>
      <w:r>
        <w:rPr>
          <w:sz w:val="18"/>
          <w:szCs w:val="18"/>
        </w:rPr>
        <w:t xml:space="preserve">Договор вступает в силу со дня его подписания</w:t>
      </w:r>
      <w:r>
        <w:rPr>
          <w:sz w:val="18"/>
          <w:szCs w:val="18"/>
        </w:rPr>
        <w:t xml:space="preserve"> Сторонами и действует до полного исполнения Сторонами обязательств.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70"/>
        <w:tabs>
          <w:tab w:val="left" w:pos="709" w:leader="none"/>
        </w:tabs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930"/>
        <w:numPr>
          <w:numId w:val="9"/>
          <w:ilvl w:val="0"/>
        </w:numPr>
        <w:spacing w:line="228" w:lineRule="auto"/>
        <w:ind w:left="0" w:firstLine="0"/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Ответственность сторон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70"/>
        <w:numPr>
          <w:numId w:val="11"/>
          <w:ilvl w:val="0"/>
        </w:numPr>
        <w:ind w:left="0" w:firstLine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Стороны несут ответственность за неисполнение обязательств по настоящему договору в соответствии с требованиями действующего законодательства РФ.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7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930"/>
        <w:numPr>
          <w:numId w:val="9"/>
          <w:ilvl w:val="0"/>
        </w:numPr>
        <w:spacing w:line="228" w:lineRule="auto"/>
        <w:ind w:left="0" w:firstLine="0"/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Персональные данные Заказчика и порядок их обработки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70"/>
        <w:numPr>
          <w:numId w:val="9"/>
          <w:ilvl w:val="0"/>
        </w:numPr>
        <w:tabs>
          <w:tab w:val="clear" w:pos="0" w:leader="none"/>
          <w:tab w:val="num" w:pos="426" w:leader="none"/>
        </w:tabs>
        <w:ind w:left="0" w:firstLine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Настоящи</w:t>
      </w:r>
      <w:r>
        <w:rPr>
          <w:sz w:val="18"/>
          <w:szCs w:val="18"/>
        </w:rPr>
        <w:t xml:space="preserve">м Заказчик даёт согласие на обработку персональных данных Заказчика (Ф.И.О., адреса проживания (регистрация), паспортных данных, номера телефона, имущественных прав на объект обслуживания и (или) помещения, в котором установлен объект обслуживания), с испо</w:t>
      </w:r>
      <w:r>
        <w:rPr>
          <w:sz w:val="18"/>
          <w:szCs w:val="18"/>
        </w:rPr>
        <w:t xml:space="preserve">льзованием средств автоматизации или без использования таковых, в целях исполнения настоящего договора (на срок действия настоящего договора) в соответствии с требованиями Федерального закона от 27.07.2006 года № 152-ФЗ «О персональных данных», а Заказчик </w:t>
      </w:r>
      <w:r>
        <w:rPr>
          <w:sz w:val="18"/>
          <w:szCs w:val="18"/>
        </w:rPr>
        <w:t xml:space="preserve">даёт</w:t>
      </w:r>
      <w:r>
        <w:rPr>
          <w:sz w:val="18"/>
          <w:szCs w:val="18"/>
        </w:rPr>
        <w:t xml:space="preserve"> согласие на обработку этих персональных данных.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70"/>
        <w:numPr>
          <w:numId w:val="9"/>
          <w:ilvl w:val="0"/>
        </w:numPr>
        <w:tabs>
          <w:tab w:val="clear" w:pos="0" w:leader="none"/>
          <w:tab w:val="num" w:pos="426" w:leader="none"/>
        </w:tabs>
        <w:ind w:left="0" w:firstLine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Заказчик даёт согласие на передачу персональных данных третьим лицам, в частности поставщику природного газа в Пермском крае – ООО «Газпром межрегионгаз Пермь».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930"/>
        <w:spacing w:line="228" w:lineRule="auto"/>
        <w:ind w:left="0"/>
        <w:rPr>
          <w:b/>
          <w:sz w:val="18"/>
          <w:szCs w:val="18"/>
        </w:rPr>
      </w:pPr>
      <w:r>
        <w:rPr>
          <w:b/>
          <w:sz w:val="18"/>
          <w:szCs w:val="18"/>
        </w:rPr>
      </w:r>
      <w:r>
        <w:rPr>
          <w:b/>
          <w:sz w:val="18"/>
          <w:szCs w:val="18"/>
        </w:rPr>
      </w:r>
      <w:r>
        <w:rPr>
          <w:b/>
          <w:sz w:val="18"/>
          <w:szCs w:val="18"/>
        </w:rPr>
      </w:r>
    </w:p>
    <w:p>
      <w:pPr>
        <w:pStyle w:val="930"/>
        <w:numPr>
          <w:numId w:val="9"/>
          <w:ilvl w:val="0"/>
        </w:numPr>
        <w:spacing w:line="228" w:lineRule="auto"/>
        <w:ind w:left="0" w:firstLine="0"/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Заключительные положения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70"/>
        <w:numPr>
          <w:numId w:val="9"/>
          <w:ilvl w:val="1"/>
        </w:numPr>
        <w:ind w:left="0" w:firstLine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Договор составлен в двух экземплярах, имеющих равную юридическую силу.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numPr>
          <w:numId w:val="9"/>
          <w:ilvl w:val="1"/>
        </w:numPr>
        <w:tabs>
          <w:tab w:val="clear" w:pos="0" w:leader="none"/>
        </w:tabs>
        <w:ind w:left="0" w:firstLine="0"/>
        <w:contextualSpacing/>
        <w:jc w:val="both"/>
        <w:rPr>
          <w:sz w:val="18"/>
          <w:szCs w:val="18"/>
          <w14:ligatures w14:val="none"/>
        </w:rPr>
      </w:pPr>
      <w:r>
        <w:rPr>
          <w:sz w:val="18"/>
          <w:szCs w:val="18"/>
        </w:rPr>
        <w:t xml:space="preserve">По вопросам, не урегулированным настоящим Договором, стороны руков</w:t>
      </w:r>
      <w:r>
        <w:rPr>
          <w:sz w:val="18"/>
          <w:szCs w:val="18"/>
        </w:rPr>
        <w:t xml:space="preserve">одствуются законодательством Российской Федерации.</w:t>
      </w:r>
      <w:r>
        <w:rPr>
          <w:sz w:val="18"/>
          <w:szCs w:val="18"/>
          <w14:ligatures w14:val="none"/>
        </w:rPr>
      </w:r>
      <w:r>
        <w:rPr>
          <w:sz w:val="18"/>
          <w:szCs w:val="18"/>
          <w14:ligatures w14:val="none"/>
        </w:rPr>
      </w:r>
    </w:p>
    <w:p>
      <w:pPr>
        <w:pStyle w:val="870"/>
        <w:numPr>
          <w:numId w:val="9"/>
          <w:ilvl w:val="1"/>
        </w:numPr>
        <w:ind w:left="0" w:firstLine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Термины и определения, применяемые в договоре, понимаются в соответствии с законодательством Российской Федерации.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70"/>
        <w:numPr>
          <w:numId w:val="9"/>
          <w:ilvl w:val="1"/>
        </w:numPr>
        <w:ind w:left="0" w:firstLine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Расторжение договора возможно в порядке, предусмотренном действующим законодательством в РФ.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70"/>
        <w:contextualSpacing/>
        <w:jc w:val="both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</w:r>
      <w:r>
        <w:rPr>
          <w:color w:val="ff0000"/>
          <w:sz w:val="18"/>
          <w:szCs w:val="18"/>
        </w:rPr>
      </w:r>
      <w:r>
        <w:rPr>
          <w:color w:val="ff0000"/>
          <w:sz w:val="18"/>
          <w:szCs w:val="18"/>
        </w:rPr>
      </w:r>
    </w:p>
    <w:p>
      <w:pPr>
        <w:pStyle w:val="870"/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9. </w:t>
      </w:r>
      <w:r>
        <w:rPr>
          <w:sz w:val="18"/>
          <w:szCs w:val="18"/>
        </w:rPr>
        <w:t xml:space="preserve">Реквизиты и подписи сторон</w:t>
      </w:r>
      <w:r>
        <w:rPr>
          <w:sz w:val="18"/>
          <w:szCs w:val="18"/>
        </w:rPr>
      </w:r>
      <w:r>
        <w:rPr>
          <w:sz w:val="18"/>
          <w:szCs w:val="18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53"/>
        <w:gridCol w:w="4820"/>
      </w:tblGrid>
      <w:tr>
        <w:trPr>
          <w:trHeight w:val="1"/>
        </w:trPr>
        <w:tblPrEx/>
        <w:tc>
          <w:tcPr>
            <w:tcW w:w="53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7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Исполнитель</w:t>
            </w:r>
            <w:r>
              <w:rPr>
                <w:b/>
                <w:sz w:val="18"/>
                <w:szCs w:val="18"/>
                <w:lang w:val="en-US"/>
              </w:rPr>
              <w:t xml:space="preserve">: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482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7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Заказчик</w:t>
            </w:r>
            <w:r>
              <w:rPr>
                <w:b/>
                <w:sz w:val="18"/>
                <w:szCs w:val="18"/>
                <w:lang w:val="en-US"/>
              </w:rPr>
              <w:t xml:space="preserve">: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2"/>
        </w:trPr>
        <w:tblPrEx/>
        <w:tc>
          <w:tcPr>
            <w:tcW w:w="53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7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АО «Газпром газораспределение Пермь»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7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_____________________________ филиал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7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Телефон: _______________________________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7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р/с ____________________________________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7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</w:t>
            </w:r>
            <w:r>
              <w:rPr>
                <w:sz w:val="18"/>
                <w:szCs w:val="18"/>
              </w:rPr>
              <w:t xml:space="preserve">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7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к/с  ___________________________________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7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5902183841;  КПП 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7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БИК ______________________________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482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7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ФИО____________________________________________________________________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7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и место рождения________________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7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7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Паспорт_____________________________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7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выдан_______________________________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7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7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Адрес:_______________________________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7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____________________________________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7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Контактный телефон 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7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Электронная почта 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1"/>
        </w:trPr>
        <w:tblPrEx/>
        <w:tc>
          <w:tcPr>
            <w:tcW w:w="53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 </w:t>
            </w:r>
            <w:r>
              <w:rPr>
                <w:sz w:val="18"/>
                <w:szCs w:val="18"/>
                <w:lang w:val="en-US"/>
              </w:rPr>
              <w:t xml:space="preserve">/</w:t>
            </w:r>
            <w:r>
              <w:rPr>
                <w:sz w:val="18"/>
                <w:szCs w:val="18"/>
              </w:rPr>
              <w:t xml:space="preserve"> ___________________________/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7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М.П.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482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7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 </w:t>
            </w:r>
            <w:r>
              <w:rPr>
                <w:sz w:val="18"/>
                <w:szCs w:val="18"/>
                <w:lang w:val="en-US"/>
              </w:rPr>
              <w:t xml:space="preserve">/_____</w:t>
            </w:r>
            <w:r>
              <w:rPr>
                <w:sz w:val="18"/>
                <w:szCs w:val="18"/>
              </w:rPr>
              <w:t xml:space="preserve">___</w:t>
            </w:r>
            <w:r>
              <w:rPr>
                <w:sz w:val="18"/>
                <w:szCs w:val="18"/>
                <w:lang w:val="en-US"/>
              </w:rPr>
              <w:t xml:space="preserve">__</w:t>
            </w:r>
            <w:r>
              <w:rPr>
                <w:sz w:val="18"/>
                <w:szCs w:val="18"/>
              </w:rPr>
              <w:t xml:space="preserve">_______________</w:t>
            </w:r>
            <w:r>
              <w:rPr>
                <w:sz w:val="18"/>
                <w:szCs w:val="18"/>
                <w:lang w:val="en-US"/>
              </w:rPr>
              <w:t xml:space="preserve">/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/>
    <w:sectPr>
      <w:headerReference w:type="default" r:id="rId9"/>
      <w:footnotePr/>
      <w:endnotePr/>
      <w:type w:val="nextPage"/>
      <w:pgSz w:w="11907" w:h="16839" w:orient="portrait"/>
      <w:pgMar w:top="709" w:right="453" w:bottom="851" w:left="85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Tahoma">
    <w:panose1 w:val="020B0604030504040204"/>
  </w:font>
  <w:font w:name="Open Sans">
    <w:panose1 w:val="020B0606030504020204"/>
  </w:font>
  <w:font w:name="Wingdings">
    <w:panose1 w:val="05010000000000000000"/>
  </w:font>
  <w:font w:name="Lohit Devanagari">
    <w:panose1 w:val="020B06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jc w:val="right"/>
    </w:pPr>
    <w:r>
      <w:t xml:space="preserve">Приложение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1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2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3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4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5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6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7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8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0" w:leader="none"/>
        </w:tabs>
        <w:ind w:left="153" w:hanging="360"/>
      </w:pPr>
      <w:rPr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tabs>
          <w:tab w:val="num" w:pos="0" w:leader="none"/>
        </w:tabs>
        <w:ind w:left="360" w:hanging="360"/>
      </w:pPr>
      <w:rPr>
        <w:rFonts w:cs="Times New Roman"/>
      </w:rPr>
    </w:lvl>
    <w:lvl w:ilvl="1">
      <w:start w:val="1"/>
      <w:numFmt w:val="decimal"/>
      <w:isLgl w:val="false"/>
      <w:suff w:val="space"/>
      <w:lvlText w:val="%1.%2."/>
      <w:lvlJc w:val="left"/>
      <w:pPr>
        <w:tabs>
          <w:tab w:val="num" w:pos="0" w:leader="none"/>
        </w:tabs>
        <w:ind w:left="360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1.%3."/>
      <w:lvlJc w:val="left"/>
      <w:pPr>
        <w:tabs>
          <w:tab w:val="num" w:pos="0" w:leader="none"/>
        </w:tabs>
        <w:ind w:left="720" w:hanging="720"/>
      </w:pPr>
      <w:rPr>
        <w:b w:val="0"/>
        <w:bCs w:val="0"/>
        <w:color w:val="000000"/>
        <w:sz w:val="18"/>
        <w:szCs w:val="18"/>
      </w:rPr>
    </w:lvl>
    <w:lvl w:ilvl="3">
      <w:start w:val="1"/>
      <w:numFmt w:val="decimal"/>
      <w:isLgl w:val="false"/>
      <w:suff w:val="tab"/>
      <w:lvlText w:val="%1.%2.%3.%4."/>
      <w:lvlJc w:val="left"/>
      <w:pPr>
        <w:tabs>
          <w:tab w:val="num" w:pos="0" w:leader="none"/>
        </w:tabs>
        <w:ind w:left="720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tabs>
          <w:tab w:val="num" w:pos="0" w:leader="none"/>
        </w:tabs>
        <w:ind w:left="720" w:hanging="72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tabs>
          <w:tab w:val="num" w:pos="0" w:leader="none"/>
        </w:tabs>
        <w:ind w:left="1080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tabs>
          <w:tab w:val="num" w:pos="0" w:leader="none"/>
        </w:tabs>
        <w:ind w:left="1080" w:hanging="108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tabs>
          <w:tab w:val="num" w:pos="0" w:leader="none"/>
        </w:tabs>
        <w:ind w:left="1080" w:hanging="108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tabs>
          <w:tab w:val="num" w:pos="0" w:leader="none"/>
        </w:tabs>
        <w:ind w:left="1440" w:hanging="144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3.3.%1."/>
      <w:lvlJc w:val="left"/>
      <w:pPr>
        <w:tabs>
          <w:tab w:val="num" w:pos="0" w:leader="none"/>
        </w:tabs>
        <w:ind w:left="633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tabs>
          <w:tab w:val="num" w:pos="0" w:leader="none"/>
        </w:tabs>
        <w:ind w:left="153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3.%1."/>
      <w:lvlJc w:val="left"/>
      <w:pPr>
        <w:tabs>
          <w:tab w:val="num" w:pos="0" w:leader="none"/>
        </w:tabs>
        <w:ind w:left="1014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3.4.%1."/>
      <w:lvlJc w:val="left"/>
      <w:pPr>
        <w:tabs>
          <w:tab w:val="num" w:pos="0" w:leader="none"/>
        </w:tabs>
        <w:ind w:left="120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3.2.%1."/>
      <w:lvlJc w:val="left"/>
      <w:pPr>
        <w:tabs>
          <w:tab w:val="num" w:pos="0" w:leader="none"/>
        </w:tabs>
        <w:ind w:left="66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5"/>
      <w:numFmt w:val="decimal"/>
      <w:isLgl w:val="false"/>
      <w:suff w:val="space"/>
      <w:lvlText w:val="%1."/>
      <w:lvlJc w:val="left"/>
      <w:pPr>
        <w:tabs>
          <w:tab w:val="num" w:pos="0" w:leader="none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isLgl w:val="false"/>
      <w:suff w:val="space"/>
      <w:lvlText w:val="%1.%2."/>
      <w:lvlJc w:val="left"/>
      <w:pPr>
        <w:tabs>
          <w:tab w:val="num" w:pos="0" w:leader="none"/>
        </w:tabs>
        <w:ind w:left="360" w:hanging="360"/>
      </w:pPr>
      <w:rPr>
        <w:rFonts w:cs="Times New Roman"/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0" w:leader="none"/>
        </w:tabs>
        <w:ind w:left="72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tabs>
          <w:tab w:val="num" w:pos="0" w:leader="none"/>
        </w:tabs>
        <w:ind w:left="720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tabs>
          <w:tab w:val="num" w:pos="0" w:leader="none"/>
        </w:tabs>
        <w:ind w:left="720" w:hanging="72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tabs>
          <w:tab w:val="num" w:pos="0" w:leader="none"/>
        </w:tabs>
        <w:ind w:left="1080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tabs>
          <w:tab w:val="num" w:pos="0" w:leader="none"/>
        </w:tabs>
        <w:ind w:left="1080" w:hanging="108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tabs>
          <w:tab w:val="num" w:pos="0" w:leader="none"/>
        </w:tabs>
        <w:ind w:left="1080" w:hanging="108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tabs>
          <w:tab w:val="num" w:pos="0" w:leader="none"/>
        </w:tabs>
        <w:ind w:left="1440" w:hanging="144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3.1.%1."/>
      <w:lvlJc w:val="left"/>
      <w:pPr>
        <w:tabs>
          <w:tab w:val="num" w:pos="0" w:leader="none"/>
        </w:tabs>
        <w:ind w:left="447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6.%1."/>
      <w:lvlJc w:val="left"/>
      <w:pPr>
        <w:tabs>
          <w:tab w:val="num" w:pos="0" w:leader="none"/>
        </w:tabs>
        <w:ind w:left="153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2.%1."/>
      <w:lvlJc w:val="left"/>
      <w:pPr>
        <w:tabs>
          <w:tab w:val="num" w:pos="0" w:leader="none"/>
        </w:tabs>
        <w:ind w:left="2148" w:hanging="360"/>
      </w:pPr>
      <w:rPr>
        <w:sz w:val="18"/>
        <w:szCs w:val="1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multiLevelType w:val="hybridMultilevel"/>
    <w:lvl w:ilvl="0">
      <w:start w:val="5"/>
      <w:numFmt w:val="decimal"/>
      <w:isLgl w:val="false"/>
      <w:suff w:val="space"/>
      <w:lvlText w:val="%1."/>
      <w:lvlJc w:val="left"/>
      <w:pPr>
        <w:tabs>
          <w:tab w:val="num" w:pos="0" w:leader="none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isLgl w:val="false"/>
      <w:suff w:val="space"/>
      <w:lvlText w:val="%1.%2."/>
      <w:lvlJc w:val="left"/>
      <w:pPr>
        <w:tabs>
          <w:tab w:val="num" w:pos="0" w:leader="none"/>
        </w:tabs>
        <w:ind w:left="360" w:hanging="360"/>
      </w:pPr>
      <w:rPr>
        <w:rFonts w:cs="Times New Roman"/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0" w:leader="none"/>
        </w:tabs>
        <w:ind w:left="72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tabs>
          <w:tab w:val="num" w:pos="0" w:leader="none"/>
        </w:tabs>
        <w:ind w:left="720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tabs>
          <w:tab w:val="num" w:pos="0" w:leader="none"/>
        </w:tabs>
        <w:ind w:left="720" w:hanging="72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tabs>
          <w:tab w:val="num" w:pos="0" w:leader="none"/>
        </w:tabs>
        <w:ind w:left="1080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tabs>
          <w:tab w:val="num" w:pos="0" w:leader="none"/>
        </w:tabs>
        <w:ind w:left="1080" w:hanging="108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tabs>
          <w:tab w:val="num" w:pos="0" w:leader="none"/>
        </w:tabs>
        <w:ind w:left="1080" w:hanging="108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tabs>
          <w:tab w:val="num" w:pos="0" w:leader="none"/>
        </w:tabs>
        <w:ind w:left="1440" w:hanging="144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0"/>
    <w:next w:val="870"/>
    <w:link w:val="693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70"/>
    <w:next w:val="870"/>
    <w:link w:val="695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70"/>
    <w:next w:val="870"/>
    <w:link w:val="697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70"/>
    <w:next w:val="870"/>
    <w:link w:val="699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70"/>
    <w:next w:val="870"/>
    <w:link w:val="701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70"/>
    <w:next w:val="870"/>
    <w:link w:val="703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70"/>
    <w:next w:val="870"/>
    <w:link w:val="705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70"/>
    <w:next w:val="870"/>
    <w:link w:val="707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70"/>
    <w:next w:val="870"/>
    <w:link w:val="709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70"/>
    <w:uiPriority w:val="34"/>
    <w:qFormat/>
    <w:pPr>
      <w:ind w:left="720"/>
      <w:contextualSpacing/>
    </w:p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70"/>
    <w:next w:val="870"/>
    <w:link w:val="713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13">
    <w:name w:val="Title Char"/>
    <w:link w:val="712"/>
    <w:uiPriority w:val="10"/>
    <w:rPr>
      <w:sz w:val="48"/>
      <w:szCs w:val="48"/>
    </w:rPr>
  </w:style>
  <w:style w:type="paragraph" w:styleId="714">
    <w:name w:val="Subtitle"/>
    <w:basedOn w:val="870"/>
    <w:next w:val="870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link w:val="714"/>
    <w:uiPriority w:val="11"/>
    <w:rPr>
      <w:sz w:val="24"/>
      <w:szCs w:val="24"/>
    </w:rPr>
  </w:style>
  <w:style w:type="paragraph" w:styleId="716">
    <w:name w:val="Quote"/>
    <w:basedOn w:val="870"/>
    <w:next w:val="870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0"/>
    <w:next w:val="870"/>
    <w:link w:val="71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0"/>
    <w:link w:val="721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21">
    <w:name w:val="Header Char"/>
    <w:link w:val="720"/>
    <w:uiPriority w:val="99"/>
  </w:style>
  <w:style w:type="paragraph" w:styleId="722">
    <w:name w:val="Footer"/>
    <w:basedOn w:val="870"/>
    <w:link w:val="725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23">
    <w:name w:val="Footer Char"/>
    <w:link w:val="722"/>
    <w:uiPriority w:val="99"/>
  </w:style>
  <w:style w:type="paragraph" w:styleId="724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6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spacing w:after="57"/>
      <w:ind w:left="0" w:right="0" w:firstLine="0"/>
    </w:pPr>
  </w:style>
  <w:style w:type="paragraph" w:styleId="860">
    <w:name w:val="toc 2"/>
    <w:basedOn w:val="870"/>
    <w:next w:val="870"/>
    <w:uiPriority w:val="39"/>
    <w:unhideWhenUsed/>
    <w:pPr>
      <w:spacing w:after="57"/>
      <w:ind w:left="283" w:right="0" w:firstLine="0"/>
    </w:pPr>
  </w:style>
  <w:style w:type="paragraph" w:styleId="861">
    <w:name w:val="toc 3"/>
    <w:basedOn w:val="870"/>
    <w:next w:val="870"/>
    <w:uiPriority w:val="39"/>
    <w:unhideWhenUsed/>
    <w:pPr>
      <w:spacing w:after="57"/>
      <w:ind w:left="567" w:right="0" w:firstLine="0"/>
    </w:pPr>
  </w:style>
  <w:style w:type="paragraph" w:styleId="862">
    <w:name w:val="toc 4"/>
    <w:basedOn w:val="870"/>
    <w:next w:val="870"/>
    <w:uiPriority w:val="39"/>
    <w:unhideWhenUsed/>
    <w:pPr>
      <w:spacing w:after="57"/>
      <w:ind w:left="850" w:right="0" w:firstLine="0"/>
    </w:pPr>
  </w:style>
  <w:style w:type="paragraph" w:styleId="863">
    <w:name w:val="toc 5"/>
    <w:basedOn w:val="870"/>
    <w:next w:val="870"/>
    <w:uiPriority w:val="39"/>
    <w:unhideWhenUsed/>
    <w:pPr>
      <w:spacing w:after="57"/>
      <w:ind w:left="1134" w:right="0" w:firstLine="0"/>
    </w:pPr>
  </w:style>
  <w:style w:type="paragraph" w:styleId="864">
    <w:name w:val="toc 6"/>
    <w:basedOn w:val="870"/>
    <w:next w:val="870"/>
    <w:uiPriority w:val="39"/>
    <w:unhideWhenUsed/>
    <w:pPr>
      <w:spacing w:after="57"/>
      <w:ind w:left="1417" w:right="0" w:firstLine="0"/>
    </w:pPr>
  </w:style>
  <w:style w:type="paragraph" w:styleId="865">
    <w:name w:val="toc 7"/>
    <w:basedOn w:val="870"/>
    <w:next w:val="870"/>
    <w:uiPriority w:val="39"/>
    <w:unhideWhenUsed/>
    <w:pPr>
      <w:spacing w:after="57"/>
      <w:ind w:left="1701" w:right="0" w:firstLine="0"/>
    </w:pPr>
  </w:style>
  <w:style w:type="paragraph" w:styleId="866">
    <w:name w:val="toc 8"/>
    <w:basedOn w:val="870"/>
    <w:next w:val="870"/>
    <w:uiPriority w:val="39"/>
    <w:unhideWhenUsed/>
    <w:pPr>
      <w:spacing w:after="57"/>
      <w:ind w:left="1984" w:right="0" w:firstLine="0"/>
    </w:pPr>
  </w:style>
  <w:style w:type="paragraph" w:styleId="867">
    <w:name w:val="toc 9"/>
    <w:basedOn w:val="870"/>
    <w:next w:val="870"/>
    <w:uiPriority w:val="39"/>
    <w:unhideWhenUsed/>
    <w:pPr>
      <w:spacing w:after="57"/>
      <w:ind w:left="2268" w:right="0" w:firstLine="0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next w:val="870"/>
    <w:link w:val="870"/>
    <w:qFormat/>
    <w:rPr>
      <w:sz w:val="24"/>
      <w:szCs w:val="24"/>
      <w:lang w:val="ru-RU" w:eastAsia="zh-CN" w:bidi="ar-SA"/>
    </w:rPr>
  </w:style>
  <w:style w:type="character" w:styleId="871">
    <w:name w:val="Основной шрифт абзаца"/>
    <w:next w:val="871"/>
    <w:link w:val="870"/>
    <w:uiPriority w:val="1"/>
    <w:semiHidden/>
    <w:unhideWhenUsed/>
  </w:style>
  <w:style w:type="table" w:styleId="872">
    <w:name w:val="Обычная таблица"/>
    <w:next w:val="872"/>
    <w:link w:val="870"/>
    <w:uiPriority w:val="99"/>
    <w:semiHidden/>
    <w:unhideWhenUsed/>
    <w:tblPr/>
  </w:style>
  <w:style w:type="numbering" w:styleId="873">
    <w:name w:val="Нет списка"/>
    <w:next w:val="873"/>
    <w:link w:val="870"/>
    <w:uiPriority w:val="99"/>
    <w:semiHidden/>
    <w:unhideWhenUsed/>
  </w:style>
  <w:style w:type="character" w:styleId="874">
    <w:name w:val="WW8Num3z0"/>
    <w:next w:val="874"/>
    <w:link w:val="870"/>
    <w:rPr>
      <w:rFonts w:cs="Times New Roman"/>
    </w:rPr>
  </w:style>
  <w:style w:type="character" w:styleId="875">
    <w:name w:val="WW8Num3z2"/>
    <w:next w:val="875"/>
    <w:link w:val="870"/>
    <w:rPr>
      <w:b w:val="0"/>
      <w:bCs w:val="0"/>
      <w:color w:val="000000"/>
      <w:sz w:val="18"/>
      <w:szCs w:val="18"/>
    </w:rPr>
  </w:style>
  <w:style w:type="character" w:styleId="876">
    <w:name w:val="WW8Num4z0"/>
    <w:next w:val="876"/>
    <w:link w:val="870"/>
  </w:style>
  <w:style w:type="character" w:styleId="877">
    <w:name w:val="WW8Num5z0"/>
    <w:next w:val="877"/>
    <w:link w:val="870"/>
  </w:style>
  <w:style w:type="character" w:styleId="878">
    <w:name w:val="WW8Num6z0"/>
    <w:next w:val="878"/>
    <w:link w:val="870"/>
  </w:style>
  <w:style w:type="character" w:styleId="879">
    <w:name w:val="WW8Num7z0"/>
    <w:next w:val="879"/>
    <w:link w:val="870"/>
  </w:style>
  <w:style w:type="character" w:styleId="880">
    <w:name w:val="WW8Num8z0"/>
    <w:next w:val="880"/>
    <w:link w:val="870"/>
  </w:style>
  <w:style w:type="character" w:styleId="881">
    <w:name w:val="WW8Num9z0"/>
    <w:next w:val="881"/>
    <w:link w:val="870"/>
    <w:rPr>
      <w:rFonts w:cs="Times New Roman"/>
    </w:rPr>
  </w:style>
  <w:style w:type="character" w:styleId="882">
    <w:name w:val="WW8Num9z1"/>
    <w:next w:val="882"/>
    <w:link w:val="870"/>
    <w:rPr>
      <w:rFonts w:cs="Times New Roman"/>
      <w:color w:val="000000"/>
    </w:rPr>
  </w:style>
  <w:style w:type="character" w:styleId="883">
    <w:name w:val="WW8Num10z0"/>
    <w:next w:val="883"/>
    <w:link w:val="870"/>
  </w:style>
  <w:style w:type="character" w:styleId="884">
    <w:name w:val="WW8Num11z0"/>
    <w:next w:val="884"/>
    <w:link w:val="870"/>
  </w:style>
  <w:style w:type="character" w:styleId="885">
    <w:name w:val="WW8Num12z0"/>
    <w:next w:val="885"/>
    <w:link w:val="870"/>
    <w:rPr>
      <w:sz w:val="18"/>
      <w:szCs w:val="18"/>
    </w:rPr>
  </w:style>
  <w:style w:type="character" w:styleId="886">
    <w:name w:val="WW8Num1z0"/>
    <w:next w:val="886"/>
    <w:link w:val="870"/>
  </w:style>
  <w:style w:type="character" w:styleId="887">
    <w:name w:val="WW8Num10z1"/>
    <w:next w:val="887"/>
    <w:link w:val="870"/>
    <w:rPr>
      <w:rFonts w:ascii="Times New Roman" w:hAnsi="Times New Roman" w:cs="Times New Roman"/>
    </w:rPr>
  </w:style>
  <w:style w:type="character" w:styleId="888">
    <w:name w:val="WW8Num10z2"/>
    <w:next w:val="888"/>
    <w:link w:val="870"/>
    <w:rPr>
      <w:rFonts w:ascii="Times New Roman" w:hAnsi="Times New Roman" w:cs="Times New Roman"/>
      <w:b w:val="0"/>
      <w:i w:val="0"/>
      <w:sz w:val="24"/>
      <w:szCs w:val="24"/>
    </w:rPr>
  </w:style>
  <w:style w:type="character" w:styleId="889">
    <w:name w:val="WW8Num13z0"/>
    <w:next w:val="889"/>
    <w:link w:val="870"/>
  </w:style>
  <w:style w:type="character" w:styleId="890">
    <w:name w:val="WW8Num15z0"/>
    <w:next w:val="890"/>
    <w:link w:val="870"/>
    <w:rPr>
      <w:rFonts w:cs="Times New Roman"/>
    </w:rPr>
  </w:style>
  <w:style w:type="character" w:styleId="891">
    <w:name w:val="WW8Num15z1"/>
    <w:next w:val="891"/>
    <w:link w:val="870"/>
    <w:rPr>
      <w:rFonts w:cs="Times New Roman"/>
      <w:color w:val="000000"/>
    </w:rPr>
  </w:style>
  <w:style w:type="character" w:styleId="892">
    <w:name w:val="WW8Num16z0"/>
    <w:next w:val="892"/>
    <w:link w:val="870"/>
  </w:style>
  <w:style w:type="character" w:styleId="893">
    <w:name w:val="WW8Num17z0"/>
    <w:next w:val="893"/>
    <w:link w:val="870"/>
  </w:style>
  <w:style w:type="character" w:styleId="894">
    <w:name w:val="WW8Num18z0"/>
    <w:next w:val="894"/>
    <w:link w:val="870"/>
  </w:style>
  <w:style w:type="character" w:styleId="895">
    <w:name w:val="WW8Num20z0"/>
    <w:next w:val="895"/>
    <w:link w:val="870"/>
  </w:style>
  <w:style w:type="character" w:styleId="896">
    <w:name w:val="WW8Num21z0"/>
    <w:next w:val="896"/>
    <w:link w:val="870"/>
  </w:style>
  <w:style w:type="character" w:styleId="897">
    <w:name w:val="WW8Num22z0"/>
    <w:next w:val="897"/>
    <w:link w:val="870"/>
  </w:style>
  <w:style w:type="character" w:styleId="898">
    <w:name w:val="WW8Num22z2"/>
    <w:next w:val="898"/>
    <w:link w:val="870"/>
    <w:rPr>
      <w:rFonts w:ascii="Times New Roman" w:hAnsi="Times New Roman" w:cs="Times New Roman"/>
      <w:b w:val="0"/>
      <w:i w:val="0"/>
      <w:sz w:val="22"/>
      <w:szCs w:val="24"/>
    </w:rPr>
  </w:style>
  <w:style w:type="character" w:styleId="899">
    <w:name w:val="WW8Num23z0"/>
    <w:next w:val="899"/>
    <w:link w:val="870"/>
    <w:rPr>
      <w:rFonts w:cs="Times New Roman"/>
    </w:rPr>
  </w:style>
  <w:style w:type="character" w:styleId="900">
    <w:name w:val="WW8Num24z0"/>
    <w:next w:val="900"/>
    <w:link w:val="870"/>
  </w:style>
  <w:style w:type="character" w:styleId="901">
    <w:name w:val="WW8Num25z0"/>
    <w:next w:val="901"/>
    <w:link w:val="870"/>
  </w:style>
  <w:style w:type="character" w:styleId="902">
    <w:name w:val="WW8Num26z0"/>
    <w:next w:val="902"/>
    <w:link w:val="870"/>
  </w:style>
  <w:style w:type="character" w:styleId="903">
    <w:name w:val="WW8Num27z0"/>
    <w:next w:val="903"/>
    <w:link w:val="870"/>
  </w:style>
  <w:style w:type="character" w:styleId="904">
    <w:name w:val="WW8Num28z0"/>
    <w:next w:val="904"/>
    <w:link w:val="870"/>
    <w:rPr>
      <w:rFonts w:ascii="Symbol" w:hAnsi="Symbol" w:cs="Symbol"/>
    </w:rPr>
  </w:style>
  <w:style w:type="character" w:styleId="905">
    <w:name w:val="WW8Num28z1"/>
    <w:next w:val="905"/>
    <w:link w:val="870"/>
    <w:rPr>
      <w:rFonts w:ascii="Courier New" w:hAnsi="Courier New" w:cs="Courier New"/>
    </w:rPr>
  </w:style>
  <w:style w:type="character" w:styleId="906">
    <w:name w:val="WW8Num28z2"/>
    <w:next w:val="906"/>
    <w:link w:val="870"/>
    <w:rPr>
      <w:rFonts w:ascii="Wingdings" w:hAnsi="Wingdings" w:cs="Wingdings"/>
    </w:rPr>
  </w:style>
  <w:style w:type="character" w:styleId="907">
    <w:name w:val="WW8Num29z0"/>
    <w:next w:val="907"/>
    <w:link w:val="870"/>
  </w:style>
  <w:style w:type="character" w:styleId="908">
    <w:name w:val="WW8Num30z0"/>
    <w:next w:val="908"/>
    <w:link w:val="870"/>
  </w:style>
  <w:style w:type="character" w:styleId="909">
    <w:name w:val="WW8Num31z0"/>
    <w:next w:val="909"/>
    <w:link w:val="870"/>
  </w:style>
  <w:style w:type="character" w:styleId="910">
    <w:name w:val="Основной шрифт абзаца1"/>
    <w:next w:val="910"/>
    <w:link w:val="870"/>
  </w:style>
  <w:style w:type="character" w:styleId="911">
    <w:name w:val="Символ сноски"/>
    <w:next w:val="911"/>
    <w:link w:val="870"/>
    <w:rPr>
      <w:vertAlign w:val="superscript"/>
    </w:rPr>
  </w:style>
  <w:style w:type="character" w:styleId="912">
    <w:name w:val="Гиперссылка"/>
    <w:next w:val="912"/>
    <w:link w:val="870"/>
    <w:rPr>
      <w:color w:val="0000ff"/>
      <w:u w:val="single"/>
    </w:rPr>
  </w:style>
  <w:style w:type="character" w:styleId="913">
    <w:name w:val="Цветовое выделение"/>
    <w:next w:val="913"/>
    <w:link w:val="870"/>
    <w:rPr>
      <w:b/>
      <w:color w:val="26282f"/>
    </w:rPr>
  </w:style>
  <w:style w:type="character" w:styleId="914">
    <w:name w:val="Знак примечания1"/>
    <w:next w:val="914"/>
    <w:link w:val="870"/>
    <w:rPr>
      <w:sz w:val="16"/>
      <w:szCs w:val="16"/>
    </w:rPr>
  </w:style>
  <w:style w:type="character" w:styleId="915">
    <w:name w:val="Текст примечания Знак"/>
    <w:basedOn w:val="910"/>
    <w:next w:val="915"/>
    <w:link w:val="870"/>
  </w:style>
  <w:style w:type="character" w:styleId="916">
    <w:name w:val="Тема примечания Знак"/>
    <w:next w:val="916"/>
    <w:link w:val="870"/>
    <w:rPr>
      <w:b/>
      <w:bCs/>
    </w:rPr>
  </w:style>
  <w:style w:type="paragraph" w:styleId="917">
    <w:name w:val="Заголовок"/>
    <w:basedOn w:val="870"/>
    <w:next w:val="918"/>
    <w:link w:val="870"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918">
    <w:name w:val="Основной текст"/>
    <w:basedOn w:val="870"/>
    <w:next w:val="918"/>
    <w:link w:val="870"/>
    <w:pPr>
      <w:jc w:val="both"/>
    </w:pPr>
  </w:style>
  <w:style w:type="paragraph" w:styleId="919">
    <w:name w:val="Список"/>
    <w:basedOn w:val="918"/>
    <w:next w:val="919"/>
    <w:link w:val="870"/>
    <w:rPr>
      <w:rFonts w:cs="Lohit Devanagari"/>
    </w:rPr>
  </w:style>
  <w:style w:type="paragraph" w:styleId="920">
    <w:name w:val="Название объекта"/>
    <w:basedOn w:val="870"/>
    <w:next w:val="920"/>
    <w:link w:val="870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921">
    <w:name w:val="Указатель1"/>
    <w:basedOn w:val="870"/>
    <w:next w:val="921"/>
    <w:link w:val="870"/>
    <w:pPr>
      <w:suppressLineNumbers/>
    </w:pPr>
    <w:rPr>
      <w:rFonts w:cs="Lohit Devanagari"/>
      <w:lang w:val="en-US" w:eastAsia="en-US" w:bidi="en-US"/>
    </w:rPr>
  </w:style>
  <w:style w:type="paragraph" w:styleId="922">
    <w:name w:val="Текст выноски"/>
    <w:basedOn w:val="870"/>
    <w:next w:val="922"/>
    <w:link w:val="870"/>
    <w:rPr>
      <w:rFonts w:ascii="Tahoma" w:hAnsi="Tahoma" w:cs="Tahoma"/>
      <w:sz w:val="16"/>
      <w:szCs w:val="16"/>
    </w:rPr>
  </w:style>
  <w:style w:type="paragraph" w:styleId="923">
    <w:name w:val="ConsPlusCell"/>
    <w:next w:val="923"/>
    <w:link w:val="870"/>
    <w:pPr>
      <w:widowControl w:val="off"/>
    </w:pPr>
    <w:rPr>
      <w:rFonts w:ascii="Arial" w:hAnsi="Arial" w:cs="Arial"/>
      <w:lang w:val="ru-RU" w:eastAsia="zh-CN" w:bidi="ar-SA"/>
    </w:rPr>
  </w:style>
  <w:style w:type="paragraph" w:styleId="924">
    <w:name w:val="Схема документа1"/>
    <w:basedOn w:val="870"/>
    <w:next w:val="924"/>
    <w:link w:val="8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925">
    <w:name w:val="Основной текст с отступом"/>
    <w:basedOn w:val="870"/>
    <w:next w:val="925"/>
    <w:link w:val="870"/>
    <w:pPr>
      <w:spacing w:before="0" w:after="120"/>
      <w:ind w:left="283" w:right="0" w:firstLine="0"/>
    </w:pPr>
  </w:style>
  <w:style w:type="paragraph" w:styleId="926">
    <w:name w:val="Основной текст с отступом 21"/>
    <w:basedOn w:val="870"/>
    <w:next w:val="926"/>
    <w:link w:val="870"/>
    <w:pPr>
      <w:spacing w:before="0" w:after="120" w:line="480" w:lineRule="auto"/>
      <w:ind w:left="283" w:right="0" w:firstLine="0"/>
    </w:pPr>
  </w:style>
  <w:style w:type="paragraph" w:styleId="927">
    <w:name w:val="Текст сноски"/>
    <w:basedOn w:val="870"/>
    <w:next w:val="927"/>
    <w:link w:val="870"/>
    <w:rPr>
      <w:sz w:val="20"/>
      <w:szCs w:val="20"/>
    </w:rPr>
  </w:style>
  <w:style w:type="paragraph" w:styleId="928">
    <w:name w:val="ConsPlusNonformat"/>
    <w:next w:val="928"/>
    <w:link w:val="870"/>
    <w:rPr>
      <w:rFonts w:ascii="Courier New" w:hAnsi="Courier New" w:cs="Courier New"/>
      <w:lang w:val="ru-RU" w:eastAsia="zh-CN" w:bidi="ar-SA"/>
    </w:rPr>
  </w:style>
  <w:style w:type="paragraph" w:styleId="929">
    <w:name w:val="Знак Знак Знак Знак Знак Знак Знак Знак Знак Знак Знак Знак Знак Знак Знак Знак Знак Знак Знак"/>
    <w:basedOn w:val="870"/>
    <w:next w:val="929"/>
    <w:link w:val="870"/>
    <w:pPr>
      <w:tabs>
        <w:tab w:val="left" w:pos="360" w:leader="none"/>
      </w:tabs>
      <w:spacing w:before="0"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930">
    <w:name w:val="Абзац списка"/>
    <w:basedOn w:val="870"/>
    <w:next w:val="930"/>
    <w:link w:val="870"/>
    <w:qFormat/>
    <w:pPr>
      <w:widowControl w:val="off"/>
      <w:spacing w:before="0" w:after="0"/>
      <w:ind w:left="720" w:right="0" w:firstLine="0"/>
      <w:contextualSpacing/>
    </w:pPr>
    <w:rPr>
      <w:rFonts w:eastAsia="Times New Roman"/>
      <w:sz w:val="20"/>
      <w:szCs w:val="20"/>
    </w:rPr>
  </w:style>
  <w:style w:type="paragraph" w:styleId="931">
    <w:name w:val="Текст примечания1"/>
    <w:basedOn w:val="870"/>
    <w:next w:val="931"/>
    <w:link w:val="870"/>
    <w:rPr>
      <w:sz w:val="20"/>
      <w:szCs w:val="20"/>
    </w:rPr>
  </w:style>
  <w:style w:type="paragraph" w:styleId="932">
    <w:name w:val="Тема примечания"/>
    <w:basedOn w:val="931"/>
    <w:next w:val="931"/>
    <w:link w:val="870"/>
    <w:rPr>
      <w:b/>
      <w:bCs/>
    </w:rPr>
  </w:style>
  <w:style w:type="paragraph" w:styleId="933">
    <w:name w:val="Содержимое таблицы"/>
    <w:basedOn w:val="870"/>
    <w:next w:val="933"/>
    <w:link w:val="870"/>
    <w:pPr>
      <w:widowControl w:val="off"/>
      <w:suppressLineNumbers/>
    </w:pPr>
  </w:style>
  <w:style w:type="paragraph" w:styleId="934">
    <w:name w:val="Заголовок таблицы"/>
    <w:basedOn w:val="933"/>
    <w:next w:val="934"/>
    <w:link w:val="870"/>
    <w:pPr>
      <w:suppressLineNumbers/>
      <w:jc w:val="center"/>
    </w:pPr>
    <w:rPr>
      <w:b/>
      <w:bCs/>
    </w:rPr>
  </w:style>
  <w:style w:type="character" w:styleId="935" w:default="1">
    <w:name w:val="Default Paragraph Font"/>
    <w:uiPriority w:val="1"/>
    <w:semiHidden/>
    <w:unhideWhenUsed/>
  </w:style>
  <w:style w:type="numbering" w:styleId="936" w:default="1">
    <w:name w:val="No List"/>
    <w:uiPriority w:val="99"/>
    <w:semiHidden/>
    <w:unhideWhenUsed/>
  </w:style>
  <w:style w:type="table" w:styleId="937" w:default="1">
    <w:name w:val="Normal Table"/>
    <w:uiPriority w:val="99"/>
    <w:semiHidden/>
    <w:unhideWhenUsed/>
    <w:tblPr/>
  </w:style>
  <w:style w:type="paragraph" w:styleId="938" w:customStyle="1">
    <w:name w:val="ConsPlusNormal"/>
    <w:pPr>
      <w:keepNext w:val="0"/>
      <w:keepLines w:val="0"/>
      <w:pageBreakBefore w:val="0"/>
      <w:widowControl w:val="off"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Calibri" w:hAnsi="Calibri" w:cs="Calibri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Hewlett-Packard Company</Company>
  <DocSecurity>4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Markovskaya</dc:creator>
  <cp:lastModifiedBy>id10192</cp:lastModifiedBy>
  <cp:revision>7</cp:revision>
  <dcterms:created xsi:type="dcterms:W3CDTF">2023-08-15T09:58:00Z</dcterms:created>
  <dcterms:modified xsi:type="dcterms:W3CDTF">2025-03-20T12:23:08Z</dcterms:modified>
  <cp:version>917504</cp:version>
</cp:coreProperties>
</file>