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spacing w:after="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ОТЧЁТ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812"/>
        <w:jc w:val="center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ОБ</w:t>
      </w:r>
      <w:r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 xml:space="preserve">ИТОГАХ</w:t>
      </w:r>
      <w:r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 xml:space="preserve">ГОЛОСОВАНИЯ</w:t>
      </w:r>
      <w:r>
        <w:rPr>
          <w:rFonts w:ascii="Arial" w:hAnsi="Arial" w:cs="Arial"/>
          <w:b/>
          <w:bCs/>
          <w:caps/>
        </w:rPr>
      </w:r>
      <w:r>
        <w:rPr>
          <w:rFonts w:ascii="Arial" w:hAnsi="Arial" w:cs="Arial"/>
          <w:b/>
          <w:bCs/>
          <w:caps/>
        </w:rPr>
      </w:r>
    </w:p>
    <w:p>
      <w:pPr>
        <w:pStyle w:val="812"/>
        <w:jc w:val="center"/>
        <w:spacing w:after="3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НА ОБЩЕМ СОБРАНИИ АКЦИОНЕРОВ</w:t>
      </w:r>
      <w:r>
        <w:rPr>
          <w:rFonts w:ascii="Arial" w:hAnsi="Arial" w:cs="Arial"/>
          <w:b/>
          <w:bCs/>
          <w:caps/>
        </w:rPr>
      </w:r>
    </w:p>
    <w:p>
      <w:pPr>
        <w:pStyle w:val="812"/>
        <w:jc w:val="both"/>
        <w:spacing w:before="240"/>
        <w:tabs>
          <w:tab w:val="clear" w:pos="4677" w:leader="none"/>
          <w:tab w:val="clear" w:pos="9355" w:leader="none"/>
        </w:tabs>
      </w:pPr>
      <w:r>
        <w:t xml:space="preserve">Полное фирменное наименование Общества: </w:t>
      </w:r>
      <w:r>
        <w:rPr>
          <w:i/>
          <w:iCs/>
        </w:rPr>
        <w:t xml:space="preserve">Акционерное общество «Газпром газораспределение Пермь»</w:t>
      </w:r>
      <w:r>
        <w:rPr>
          <w:i/>
          <w:iCs/>
        </w:rPr>
        <w:t xml:space="preserve"> (далее по тексту</w:t>
      </w:r>
      <w:r>
        <w:rPr>
          <w:i/>
          <w:iCs/>
        </w:rPr>
        <w:t xml:space="preserve"> – </w:t>
      </w:r>
      <w:r>
        <w:rPr>
          <w:i/>
          <w:iCs/>
        </w:rPr>
        <w:t xml:space="preserve">Общество)</w:t>
      </w:r>
      <w:r>
        <w:rPr>
          <w:i/>
          <w:iCs/>
        </w:rPr>
        <w:t xml:space="preserve">.</w:t>
      </w:r>
      <w:r/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Место нахождения Общества:</w:t>
      </w:r>
      <w:r>
        <w:rPr>
          <w:i/>
          <w:iCs/>
        </w:rPr>
        <w:t xml:space="preserve"> Российская Федерация, Пермский край, город Пермь</w:t>
      </w:r>
      <w:r>
        <w:rPr>
          <w:i/>
          <w:iCs/>
        </w:rPr>
        <w:t xml:space="preserve">.</w:t>
      </w:r>
      <w:r>
        <w:rPr>
          <w:i/>
          <w:iCs/>
        </w:rPr>
      </w:r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Адрес</w:t>
      </w:r>
      <w:r>
        <w:t xml:space="preserve"> Общества:</w:t>
      </w:r>
      <w:r>
        <w:rPr>
          <w:i/>
          <w:iCs/>
        </w:rPr>
        <w:t xml:space="preserve"> </w:t>
      </w:r>
      <w:r>
        <w:rPr>
          <w:i/>
          <w:iCs/>
        </w:rPr>
        <w:t xml:space="preserve">614000, Пермский край, г</w:t>
      </w:r>
      <w:r>
        <w:rPr>
          <w:i/>
          <w:iCs/>
        </w:rPr>
        <w:t xml:space="preserve">.</w:t>
      </w:r>
      <w:r>
        <w:rPr>
          <w:i/>
          <w:iCs/>
        </w:rPr>
        <w:t xml:space="preserve"> Пермь, ул</w:t>
      </w:r>
      <w:r>
        <w:rPr>
          <w:i/>
          <w:iCs/>
        </w:rPr>
        <w:t xml:space="preserve">.</w:t>
      </w:r>
      <w:r>
        <w:rPr>
          <w:i/>
          <w:iCs/>
        </w:rPr>
        <w:t xml:space="preserve"> Петропавловская, дом 43</w:t>
      </w:r>
      <w:r>
        <w:rPr>
          <w:i/>
          <w:iCs/>
        </w:rPr>
        <w:t xml:space="preserve">.</w:t>
      </w:r>
      <w:r>
        <w:rPr>
          <w:i/>
          <w:iCs/>
        </w:rPr>
      </w:r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Вид</w:t>
      </w:r>
      <w:r>
        <w:t xml:space="preserve"> </w:t>
      </w:r>
      <w:r>
        <w:t xml:space="preserve">общего</w:t>
      </w:r>
      <w:r>
        <w:t xml:space="preserve"> </w:t>
      </w:r>
      <w:r>
        <w:t xml:space="preserve">собрания</w:t>
      </w:r>
      <w:r>
        <w:t xml:space="preserve">:</w:t>
      </w:r>
      <w:r>
        <w:rPr>
          <w:i/>
          <w:iCs/>
        </w:rPr>
        <w:t xml:space="preserve"> </w:t>
      </w:r>
      <w:bookmarkStart w:id="0" w:name="_GoBack"/>
      <w:r/>
      <w:bookmarkEnd w:id="0"/>
      <w:r>
        <w:rPr>
          <w:i/>
          <w:iCs/>
        </w:rPr>
        <w:t xml:space="preserve">годовое.</w:t>
      </w:r>
      <w:r/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Форма проведения общего собрания:</w:t>
      </w:r>
      <w:r>
        <w:rPr>
          <w:b/>
          <w:bCs/>
        </w:rPr>
        <w:t xml:space="preserve"> </w:t>
      </w:r>
      <w:r>
        <w:rPr>
          <w:i/>
          <w:iCs/>
        </w:rPr>
        <w:t xml:space="preserve">заочное голосование</w:t>
      </w:r>
      <w:r>
        <w:rPr>
          <w:i/>
          <w:iCs/>
        </w:rPr>
        <w:t xml:space="preserve">.</w:t>
      </w:r>
      <w:r/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u w:val="single"/>
        </w:rPr>
      </w:pPr>
      <w:r>
        <w:t xml:space="preserve">Дата окончания приема бюллетеней: </w:t>
      </w:r>
      <w:r>
        <w:rPr>
          <w:i/>
          <w:iCs/>
        </w:rPr>
        <w:t xml:space="preserve">28 июня 2024 г.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Дата определения (фиксации) лиц, имевших право на участие в общем собрании</w:t>
      </w:r>
      <w:r>
        <w:t xml:space="preserve">:</w:t>
      </w:r>
      <w:r>
        <w:t xml:space="preserve"> </w:t>
      </w:r>
      <w:r>
        <w:rPr>
          <w:i/>
        </w:rPr>
        <w:t xml:space="preserve">03 июня 2024 г.</w:t>
      </w:r>
      <w:r/>
    </w:p>
    <w:p>
      <w:pPr>
        <w:pStyle w:val="813"/>
        <w:spacing w:before="120" w:after="60"/>
      </w:pPr>
      <w:r>
        <w:t xml:space="preserve">Повестка дня общего собрания</w:t>
      </w:r>
      <w:r>
        <w:t xml:space="preserve">:</w:t>
      </w:r>
      <w:r/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1.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Избрание председательствующего на годовом общем собрании акционеров Общества и секретаря собрания.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2.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Утверждение годового отчета Общества за 2023 год.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3.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Утверждение годовой бухгалтерской (финансовой) отчетности Общества за 2023 год.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4.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Распределение прибыли (в том числе выплата (объявление) дивидендов) и убытков Общества по результатам 2023 года.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5.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 размере, сроках и форме выплаты дивидендов по результатам 2023 года.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6.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 размере воз</w:t>
            </w:r>
            <w:r>
              <w:rPr>
                <w:i/>
                <w:iCs/>
              </w:rPr>
              <w:t xml:space="preserve">награждений, выплачиваемых членам Совета директоров и членам ревизионной комиссии Общества по результатам работы в 2023 году (О размере вознаграждений, выплачиваемых членам Совета директоров и членам ревизионной комиссии Общества по результатам 2023 года).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7.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Избрание членов Совета директоров Общества.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8.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Избрание членов ревизионной комиссии Общества.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9.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 назначении аудиторской организации Общества (Утверждение аудитора Общества).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</w:rPr>
            </w:pPr>
            <w:r>
              <w:rPr>
                <w:i/>
                <w:iCs/>
              </w:rPr>
              <w:t xml:space="preserve">10.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Утверждение Устава Общества в новой редакции.</w:t>
            </w:r>
            <w:r>
              <w:rPr>
                <w:i/>
                <w:iCs/>
              </w:rPr>
            </w:r>
          </w:p>
        </w:tc>
      </w:tr>
    </w:tbl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Полное фирменное наименование регистратора,</w:t>
      </w:r>
      <w:r>
        <w:rPr>
          <w:b/>
          <w:bCs/>
        </w:rPr>
        <w:t xml:space="preserve"> </w:t>
      </w:r>
      <w:r>
        <w:t xml:space="preserve">исполняющего функции Счетной комиссии</w:t>
      </w:r>
      <w:r>
        <w:t xml:space="preserve">:</w:t>
      </w:r>
      <w:r>
        <w:t xml:space="preserve"> </w:t>
      </w:r>
      <w:r>
        <w:rPr>
          <w:i/>
        </w:rPr>
        <w:t xml:space="preserve">Акционерное общество «Специализированный регистратор – Держатель реестров акционеров газовой промышленности» (АО «ДРАГА»)</w:t>
      </w:r>
      <w:r>
        <w:rPr>
          <w:i/>
        </w:rPr>
        <w:t xml:space="preserve"> </w:t>
      </w:r>
      <w:r>
        <w:rPr>
          <w:i/>
        </w:rPr>
        <w:t xml:space="preserve">(далее по тексту -Регистратор)</w:t>
      </w:r>
      <w:r>
        <w:rPr>
          <w:i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Место нахождения Регистратора:</w:t>
      </w:r>
      <w:r>
        <w:t xml:space="preserve"> </w:t>
      </w:r>
      <w:r>
        <w:t xml:space="preserve">г. Санкт-Петербург</w:t>
      </w:r>
      <w:r>
        <w:t xml:space="preserve">.</w:t>
      </w:r>
      <w:r/>
    </w:p>
    <w:p>
      <w:pPr>
        <w:pStyle w:val="812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u w:val="single"/>
        </w:rPr>
      </w:pPr>
      <w:r>
        <w:t xml:space="preserve">Адрес</w:t>
      </w:r>
      <w:r>
        <w:t xml:space="preserve"> Регистратора:</w:t>
      </w:r>
      <w:r>
        <w:t xml:space="preserve"> </w:t>
      </w:r>
      <w:r>
        <w:t xml:space="preserve">197110, г. Санкт-Петербург, вн.тер.г. муниципальный округ округ Петровский, ул. Большая Зеленина, д. 8, к. 2, литера А, помещ. 42Н</w:t>
      </w:r>
      <w:r>
        <w:t xml:space="preserve">.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812"/>
        <w:jc w:val="both"/>
        <w:spacing w:before="120" w:after="120"/>
        <w:tabs>
          <w:tab w:val="clear" w:pos="4677" w:leader="none"/>
          <w:tab w:val="clear" w:pos="9355" w:leader="none"/>
        </w:tabs>
      </w:pPr>
      <w:r>
        <w:t xml:space="preserve">Лицо, уполномоченное Регистратором</w:t>
      </w:r>
      <w:r>
        <w:t xml:space="preserve">,</w:t>
      </w:r>
      <w:r>
        <w:t xml:space="preserve"> </w:t>
      </w:r>
      <w:r>
        <w:t xml:space="preserve">исполняющим функции Счетной комиссии</w:t>
      </w:r>
      <w:r>
        <w:t xml:space="preserve">:</w:t>
      </w:r>
      <w:r/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813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Чистова Ирина Юрьевна.</w:t>
            </w:r>
            <w:r>
              <w:rPr>
                <w:i/>
                <w:iCs/>
                <w:lang w:val="en-US"/>
              </w:rPr>
            </w:r>
            <w:r>
              <w:rPr>
                <w:i/>
                <w:iCs/>
                <w:lang w:val="en-US"/>
              </w:rPr>
            </w:r>
          </w:p>
        </w:tc>
      </w:tr>
    </w:tbl>
    <w:p>
      <w:pPr>
        <w:pStyle w:val="812"/>
        <w:jc w:val="center"/>
        <w:spacing w:after="360"/>
        <w:tabs>
          <w:tab w:val="clear" w:pos="4677" w:leader="none"/>
          <w:tab w:val="clear" w:pos="9355" w:leader="none"/>
        </w:tabs>
        <w:rPr>
          <w:i/>
          <w:iCs/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22"/>
          <w:footerReference w:type="even" r:id="rId23"/>
          <w:footerReference w:type="first" r:id="rId24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pgNumType w:start="1"/>
          <w:cols w:num="1" w:sep="0" w:space="708" w:equalWidth="1"/>
          <w:docGrid w:linePitch="360"/>
        </w:sectPr>
      </w:pPr>
      <w:r>
        <w:rPr>
          <w:i/>
          <w:iCs/>
          <w:lang w:val="en-US"/>
        </w:rPr>
      </w:r>
      <w:r>
        <w:rPr>
          <w:i/>
          <w:iCs/>
          <w:lang w:val="en-US"/>
        </w:rPr>
      </w:r>
    </w:p>
    <w:p>
      <w:pPr>
        <w:pStyle w:val="818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1</w:t>
      </w:r>
      <w:r>
        <w:t xml:space="preserve"> повестки дня:</w:t>
      </w:r>
      <w:r/>
    </w:p>
    <w:p>
      <w:pPr>
        <w:pStyle w:val="818"/>
        <w:numPr>
          <w:ilvl w:val="0"/>
          <w:numId w:val="1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1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18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1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18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bookmarkStart w:id="1" w:name="_GoBack_0"/>
      <w:r/>
      <w:bookmarkEnd w:id="1"/>
      <w:r>
        <w:t xml:space="preserve">по</w:t>
      </w:r>
      <w:r>
        <w:t xml:space="preserve"> вопросу 1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18"/>
        <w:jc w:val="both"/>
        <w:spacing w:before="240"/>
      </w:pPr>
      <w:r>
        <w:t xml:space="preserve">Д</w:t>
      </w:r>
      <w:r>
        <w:t xml:space="preserve">ля принятия решения по вопросу 1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18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1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7 414 323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(86,7034%)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1 136 876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1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(13,2947%)</w:t>
            </w:r>
            <w:r>
              <w:rPr>
                <w:lang w:val="en-US"/>
              </w:rPr>
            </w:r>
          </w:p>
        </w:tc>
      </w:tr>
    </w:tbl>
    <w:p>
      <w:pPr>
        <w:pStyle w:val="818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160 (0,0019%)</w:t>
      </w:r>
      <w:r>
        <w:t xml:space="preserve">.</w:t>
      </w:r>
      <w:r/>
    </w:p>
    <w:p>
      <w:pPr>
        <w:pStyle w:val="818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1</w:t>
      </w:r>
      <w:r>
        <w:t xml:space="preserve"> повестки дня:</w:t>
      </w:r>
      <w:r/>
    </w:p>
    <w:p>
      <w:pPr>
        <w:pStyle w:val="818"/>
        <w:ind w:left="357"/>
        <w:jc w:val="both"/>
        <w:spacing w:before="120" w:after="120"/>
        <w:rPr>
          <w:i/>
          <w:iCs/>
        </w:rPr>
        <w:sectPr>
          <w:headerReference w:type="default" r:id="rId12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«Избрать председательствующим на годовом общем собрании акционеров Общества Прохорову Ольгу Владимировну, секретарем собрания - Синева Алексея Васильевича.»</w:t>
      </w:r>
      <w:r>
        <w:rPr>
          <w:i/>
          <w:iCs/>
        </w:rPr>
      </w:r>
    </w:p>
    <w:p>
      <w:pPr>
        <w:pStyle w:val="821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2</w:t>
      </w:r>
      <w:r>
        <w:t xml:space="preserve"> повестки дня:</w:t>
      </w:r>
      <w:r/>
    </w:p>
    <w:p>
      <w:pPr>
        <w:pStyle w:val="821"/>
        <w:numPr>
          <w:ilvl w:val="0"/>
          <w:numId w:val="2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2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1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2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1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bookmarkStart w:id="2" w:name="_GoBack_1"/>
      <w:r/>
      <w:bookmarkEnd w:id="2"/>
      <w:r>
        <w:t xml:space="preserve"> </w:t>
      </w:r>
      <w:r>
        <w:t xml:space="preserve">по</w:t>
      </w:r>
      <w:r>
        <w:t xml:space="preserve"> вопросу 2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21"/>
        <w:jc w:val="both"/>
        <w:spacing w:before="240"/>
      </w:pPr>
      <w:r>
        <w:t xml:space="preserve">Д</w:t>
      </w:r>
      <w:r>
        <w:t xml:space="preserve">ля принятия решения по вопросу 2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21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2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21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1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7 414 323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(86,7034%)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1 136 876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(13,2947%)</w:t>
            </w:r>
            <w:r>
              <w:rPr>
                <w:lang w:val="en-US"/>
              </w:rPr>
            </w:r>
          </w:p>
        </w:tc>
      </w:tr>
    </w:tbl>
    <w:p>
      <w:pPr>
        <w:pStyle w:val="821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2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160 (0,0019%)</w:t>
      </w:r>
      <w:r>
        <w:t xml:space="preserve">.</w:t>
      </w:r>
      <w:r/>
    </w:p>
    <w:p>
      <w:pPr>
        <w:pStyle w:val="821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2</w:t>
      </w:r>
      <w:r>
        <w:t xml:space="preserve"> повестки дня:</w:t>
      </w:r>
      <w:r/>
    </w:p>
    <w:p>
      <w:pPr>
        <w:pStyle w:val="821"/>
        <w:ind w:left="357"/>
        <w:jc w:val="both"/>
        <w:spacing w:before="120" w:after="120"/>
        <w:rPr>
          <w:i/>
          <w:iCs/>
        </w:rPr>
        <w:sectPr>
          <w:headerReference w:type="default" r:id="rId13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«Утвердить годовой отчет Общества за 2023 год.»</w:t>
      </w:r>
      <w:r>
        <w:rPr>
          <w:i/>
          <w:iCs/>
        </w:rPr>
      </w:r>
    </w:p>
    <w:p>
      <w:pPr>
        <w:pStyle w:val="824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3</w:t>
      </w:r>
      <w:r>
        <w:t xml:space="preserve"> повестки дня:</w:t>
      </w:r>
      <w:r/>
    </w:p>
    <w:p>
      <w:pPr>
        <w:pStyle w:val="824"/>
        <w:numPr>
          <w:ilvl w:val="0"/>
          <w:numId w:val="3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3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4"/>
        <w:numPr>
          <w:ilvl w:val="0"/>
          <w:numId w:val="3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3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4"/>
        <w:numPr>
          <w:ilvl w:val="0"/>
          <w:numId w:val="3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bookmarkStart w:id="3" w:name="_GoBack_2"/>
      <w:r/>
      <w:bookmarkEnd w:id="3"/>
      <w:r>
        <w:t xml:space="preserve">по</w:t>
      </w:r>
      <w:r>
        <w:t xml:space="preserve"> вопросу 3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24"/>
        <w:jc w:val="both"/>
        <w:spacing w:before="240"/>
      </w:pPr>
      <w:r>
        <w:t xml:space="preserve">Д</w:t>
      </w:r>
      <w:r>
        <w:t xml:space="preserve">ля принятия решения по вопросу 3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24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3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24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4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7 414 323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(86,7034%)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4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4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1 136 876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(13,2947%)</w:t>
            </w:r>
            <w:r>
              <w:rPr>
                <w:lang w:val="en-US"/>
              </w:rPr>
            </w:r>
          </w:p>
        </w:tc>
      </w:tr>
    </w:tbl>
    <w:p>
      <w:pPr>
        <w:pStyle w:val="824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3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160 (0,0019%)</w:t>
      </w:r>
      <w:r>
        <w:t xml:space="preserve">.</w:t>
      </w:r>
      <w:r/>
    </w:p>
    <w:p>
      <w:pPr>
        <w:pStyle w:val="824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3</w:t>
      </w:r>
      <w:r>
        <w:t xml:space="preserve"> повестки дня:</w:t>
      </w:r>
      <w:r/>
    </w:p>
    <w:p>
      <w:pPr>
        <w:pStyle w:val="824"/>
        <w:ind w:left="357"/>
        <w:jc w:val="both"/>
        <w:spacing w:before="120" w:after="120"/>
        <w:rPr>
          <w:i/>
          <w:iCs/>
        </w:rPr>
        <w:sectPr>
          <w:headerReference w:type="default" r:id="rId14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«Утвердить годовую бухгалтерскую (финансовую) отчетность Общества за 2023</w:t>
      </w:r>
      <w:r>
        <w:rPr>
          <w:i/>
          <w:iCs/>
        </w:rPr>
        <w:t xml:space="preserve"> </w:t>
      </w:r>
      <w:r>
        <w:rPr>
          <w:i/>
          <w:iCs/>
        </w:rPr>
        <w:t xml:space="preserve">год.»</w:t>
      </w:r>
      <w:r>
        <w:rPr>
          <w:i/>
          <w:iCs/>
        </w:rPr>
      </w:r>
    </w:p>
    <w:p>
      <w:pPr>
        <w:pStyle w:val="827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4</w:t>
      </w:r>
      <w:r>
        <w:t xml:space="preserve"> повестки дня:</w:t>
      </w:r>
      <w:r/>
    </w:p>
    <w:p>
      <w:pPr>
        <w:pStyle w:val="827"/>
        <w:numPr>
          <w:ilvl w:val="0"/>
          <w:numId w:val="4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4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7"/>
        <w:numPr>
          <w:ilvl w:val="0"/>
          <w:numId w:val="4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4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27"/>
        <w:numPr>
          <w:ilvl w:val="0"/>
          <w:numId w:val="4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определенное с учетом положений пункта 4.2 ст. 49 Федерального закона «Об акционерных обществах»</w:t>
      </w:r>
      <w:bookmarkStart w:id="4" w:name="_GoBack_3"/>
      <w:r/>
      <w:bookmarkEnd w:id="4"/>
      <w:r>
        <w:t xml:space="preserve"> </w:t>
      </w:r>
      <w:r>
        <w:t xml:space="preserve">по</w:t>
      </w:r>
      <w:r>
        <w:t xml:space="preserve"> вопросу 4 </w:t>
      </w:r>
      <w:r>
        <w:t xml:space="preserve">повестки дня составило:</w:t>
      </w:r>
      <w:r>
        <w:t xml:space="preserve"> </w:t>
      </w:r>
      <w:r>
        <w:t xml:space="preserve">8 305 062</w:t>
      </w:r>
      <w:r>
        <w:t xml:space="preserve">.</w:t>
      </w:r>
      <w:r/>
    </w:p>
    <w:p>
      <w:pPr>
        <w:pStyle w:val="827"/>
        <w:jc w:val="both"/>
        <w:spacing w:before="240"/>
      </w:pPr>
      <w:r>
        <w:t xml:space="preserve">Д</w:t>
      </w:r>
      <w:r>
        <w:t xml:space="preserve">ля принятия решения по вопросу 4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27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4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27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7 161 715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(86,2331%)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5 558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(0,0669%)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1 137 629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2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(13,6980%)</w:t>
            </w:r>
            <w:r>
              <w:rPr>
                <w:lang w:val="en-US"/>
              </w:rPr>
            </w:r>
          </w:p>
        </w:tc>
      </w:tr>
    </w:tbl>
    <w:p>
      <w:pPr>
        <w:pStyle w:val="827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4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246 457 (2,9676%)</w:t>
      </w:r>
      <w:r>
        <w:t xml:space="preserve">.</w:t>
      </w:r>
      <w:r/>
    </w:p>
    <w:p>
      <w:pPr>
        <w:pStyle w:val="827"/>
        <w:jc w:val="both"/>
        <w:spacing w:before="120"/>
        <w:tabs>
          <w:tab w:val="left" w:pos="284" w:leader="none"/>
        </w:tabs>
      </w:pPr>
      <w:r>
        <w:t xml:space="preserve">Из них голоса акционеров - владельцев привилегированных акций, отданные за варианты голосования, выраженные формулировками «за» и «воздержался» (246 297), не учитываются при подсчете голосов и определении кворума.</w:t>
      </w:r>
      <w:r/>
    </w:p>
    <w:p>
      <w:pPr>
        <w:pStyle w:val="827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4</w:t>
      </w:r>
      <w:r>
        <w:t xml:space="preserve"> повестки дня:</w:t>
      </w:r>
      <w:r/>
    </w:p>
    <w:p>
      <w:pPr>
        <w:pStyle w:val="827"/>
        <w:ind w:left="357"/>
        <w:jc w:val="both"/>
        <w:spacing w:before="120" w:after="120"/>
        <w:rPr>
          <w:i/>
          <w:iCs/>
        </w:rPr>
        <w:outlineLvl w:val="0"/>
      </w:pPr>
      <w:r>
        <w:rPr>
          <w:i/>
          <w:iCs/>
        </w:rPr>
        <w:t xml:space="preserve">«Чистую прибыль, полученную по результатам 2023 финансового года в размере 124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294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182 руб. 77 коп. (за вычетом прибыли от оказания услуг по подключению (технологическому присоединению) газоиспользующего оборудования к газораспределительным сетям в размере 259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007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967 руб. 42 коп.) распределить следующим образом:</w:t>
      </w:r>
      <w:r>
        <w:rPr>
          <w:i/>
          <w:iCs/>
        </w:rPr>
      </w:r>
    </w:p>
    <w:p>
      <w:pPr>
        <w:pStyle w:val="827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-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на формирование источника финансирования инвестиционной программы за счет средств, полученных от оказания услуг, связанных с перекладкой газопроводов, целевых средств, предусмотренных тарифом на транспортировку газа на 2023 год: 124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294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182</w:t>
      </w:r>
      <w:r>
        <w:rPr>
          <w:i/>
          <w:iCs/>
        </w:rPr>
        <w:t xml:space="preserve"> </w:t>
      </w:r>
      <w:r>
        <w:rPr>
          <w:i/>
          <w:iCs/>
        </w:rPr>
        <w:t xml:space="preserve">руб. 77 коп.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27"/>
        <w:ind w:left="357"/>
        <w:jc w:val="both"/>
        <w:spacing w:before="120" w:after="120"/>
        <w:rPr>
          <w:b/>
          <w:bCs/>
          <w:sz w:val="16"/>
          <w:szCs w:val="14"/>
        </w:rPr>
        <w:sectPr>
          <w:headerReference w:type="default" r:id="rId15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Дивиденды по акциям не начислять и не выплачивать.»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0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5</w:t>
      </w:r>
      <w:r>
        <w:t xml:space="preserve"> повестки дня:</w:t>
      </w:r>
      <w:r/>
    </w:p>
    <w:p>
      <w:pPr>
        <w:pStyle w:val="830"/>
        <w:numPr>
          <w:ilvl w:val="0"/>
          <w:numId w:val="5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5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30"/>
        <w:numPr>
          <w:ilvl w:val="0"/>
          <w:numId w:val="5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5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30"/>
        <w:numPr>
          <w:ilvl w:val="0"/>
          <w:numId w:val="5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определенное с учетом положений пункта 4.2 ст. 49 Федерального закона «Об акционерных обществах»</w:t>
      </w:r>
      <w:bookmarkStart w:id="5" w:name="_GoBack_4"/>
      <w:r/>
      <w:bookmarkEnd w:id="5"/>
      <w:r>
        <w:t xml:space="preserve"> </w:t>
      </w:r>
      <w:r>
        <w:t xml:space="preserve">по</w:t>
      </w:r>
      <w:r>
        <w:t xml:space="preserve"> вопросу 5 </w:t>
      </w:r>
      <w:r>
        <w:t xml:space="preserve">повестки дня составило:</w:t>
      </w:r>
      <w:r>
        <w:t xml:space="preserve"> </w:t>
      </w:r>
      <w:r>
        <w:t xml:space="preserve">8 305 062</w:t>
      </w:r>
      <w:r>
        <w:t xml:space="preserve">.</w:t>
      </w:r>
      <w:r/>
    </w:p>
    <w:p>
      <w:pPr>
        <w:pStyle w:val="830"/>
        <w:jc w:val="both"/>
        <w:spacing w:before="240"/>
      </w:pPr>
      <w:r>
        <w:t xml:space="preserve">Д</w:t>
      </w:r>
      <w:r>
        <w:t xml:space="preserve">ля принятия решения по вопросу 5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30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5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3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0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7 160 938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(86,2238%)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5 558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(0,0669%)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1 138 406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(13,7074%)</w:t>
            </w:r>
            <w:r>
              <w:rPr>
                <w:lang w:val="en-US"/>
              </w:rPr>
            </w:r>
          </w:p>
        </w:tc>
      </w:tr>
    </w:tbl>
    <w:p>
      <w:pPr>
        <w:pStyle w:val="830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5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246 457 (2,9676%)</w:t>
      </w:r>
      <w:r>
        <w:t xml:space="preserve">.</w:t>
      </w:r>
      <w:r/>
    </w:p>
    <w:p>
      <w:pPr>
        <w:pStyle w:val="830"/>
        <w:jc w:val="both"/>
        <w:spacing w:before="120"/>
        <w:tabs>
          <w:tab w:val="left" w:pos="284" w:leader="none"/>
        </w:tabs>
      </w:pPr>
      <w:r>
        <w:t xml:space="preserve">Из них голоса акционеров - владельцев привилегированных акций, отданные за варианты голосования, выраженные формулировками «за» и «воздержался» (246 297), не учитываются при подсчете голосов и определении кворума.</w:t>
      </w:r>
      <w:r/>
    </w:p>
    <w:p>
      <w:pPr>
        <w:pStyle w:val="830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5</w:t>
      </w:r>
      <w:r>
        <w:t xml:space="preserve"> повестки дня:</w:t>
      </w:r>
      <w:r/>
    </w:p>
    <w:p>
      <w:pPr>
        <w:pStyle w:val="830"/>
        <w:ind w:left="357"/>
        <w:jc w:val="both"/>
        <w:spacing w:before="120" w:after="120"/>
        <w:rPr>
          <w:i/>
          <w:iCs/>
        </w:rPr>
        <w:sectPr>
          <w:headerReference w:type="default" r:id="rId16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«Дивиденды по акциям по результатам 2023 года не начислять и не выплачивать.»</w:t>
      </w:r>
      <w:r>
        <w:rPr>
          <w:i/>
          <w:iCs/>
        </w:rPr>
      </w:r>
    </w:p>
    <w:p>
      <w:pPr>
        <w:pStyle w:val="833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6</w:t>
      </w:r>
      <w:r>
        <w:t xml:space="preserve"> повестки дня:</w:t>
      </w:r>
      <w:r/>
    </w:p>
    <w:p>
      <w:pPr>
        <w:pStyle w:val="833"/>
        <w:numPr>
          <w:ilvl w:val="0"/>
          <w:numId w:val="6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6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33"/>
        <w:numPr>
          <w:ilvl w:val="0"/>
          <w:numId w:val="6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6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33"/>
        <w:numPr>
          <w:ilvl w:val="0"/>
          <w:numId w:val="6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bookmarkStart w:id="6" w:name="_GoBack_5"/>
      <w:r/>
      <w:bookmarkEnd w:id="6"/>
      <w:r>
        <w:t xml:space="preserve">по</w:t>
      </w:r>
      <w:r>
        <w:t xml:space="preserve"> вопросу 6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33"/>
        <w:jc w:val="both"/>
        <w:spacing w:before="240"/>
      </w:pPr>
      <w:r>
        <w:t xml:space="preserve">Д</w:t>
      </w:r>
      <w:r>
        <w:t xml:space="preserve">ля принятия решения по вопросу 6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33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6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33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3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3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7 414 113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(86,7010%)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3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3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210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(0,0025%)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33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33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1 136 876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(13,2947%)</w:t>
            </w:r>
            <w:r>
              <w:rPr>
                <w:lang w:val="en-US"/>
              </w:rPr>
            </w:r>
          </w:p>
        </w:tc>
      </w:tr>
    </w:tbl>
    <w:p>
      <w:pPr>
        <w:pStyle w:val="833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6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160 (0,0019%)</w:t>
      </w:r>
      <w:r>
        <w:t xml:space="preserve">.</w:t>
      </w:r>
      <w:r/>
    </w:p>
    <w:p>
      <w:pPr>
        <w:pStyle w:val="833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6</w:t>
      </w:r>
      <w:r>
        <w:t xml:space="preserve"> повестки дня:</w:t>
      </w:r>
      <w:r/>
    </w:p>
    <w:p>
      <w:pPr>
        <w:pStyle w:val="833"/>
        <w:ind w:left="357"/>
        <w:jc w:val="both"/>
        <w:spacing w:before="120" w:after="120"/>
        <w:rPr>
          <w:i/>
          <w:iCs/>
        </w:rPr>
        <w:outlineLvl w:val="0"/>
      </w:pPr>
      <w:r>
        <w:rPr>
          <w:i/>
          <w:iCs/>
        </w:rPr>
        <w:t xml:space="preserve">«1.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Утвердить следующий размер вознаграждений членам Совета директоров, членам ревизионной комиссии Общества в связи с исполнением ими своих обязанностей, в том числе:</w:t>
      </w:r>
      <w:r>
        <w:rPr>
          <w:i/>
          <w:iCs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-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Председателю Совета директоров - 50 000 руб. 00 коп.;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-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членам Совета директоров – по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25 000 руб. 00 коп.;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-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Председателю ревизионной комиссии – 25 000 руб., 00 коп.;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-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членам ревизионной комиссии – по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20 000 руб. 00 коп.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2.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Членам Совета директоров, являющихся государственными служащими, вознаграждение не выплачивать. 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outlineLvl w:val="0"/>
      </w:pPr>
      <w:r>
        <w:rPr>
          <w:i/>
          <w:iCs/>
        </w:rPr>
        <w:t xml:space="preserve">Выплаты вознаграждений членам Совета директоров, членам ревизионной комиссии Общества произвести за счет прочих расходов Общества (с использованием 91 счета) пропорционально времени участия в составе органа управления/контроля.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3"/>
        <w:ind w:left="357"/>
        <w:jc w:val="both"/>
        <w:spacing w:before="120" w:after="120"/>
        <w:rPr>
          <w:b/>
          <w:bCs/>
          <w:sz w:val="16"/>
          <w:szCs w:val="14"/>
        </w:rPr>
        <w:sectPr>
          <w:headerReference w:type="default" r:id="rId17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3.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Компенсацию расходов, связанных с исполнением обязанностей членов Совета директоров, членов ревизионной комиссии Общества, не производить.»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836"/>
        <w:spacing w:after="120"/>
        <w:tabs>
          <w:tab w:val="left" w:pos="284" w:leader="none"/>
        </w:tabs>
      </w:pPr>
      <w:r/>
      <w:bookmarkStart w:id="7" w:name="OLE_LINK3"/>
      <w:r/>
      <w:bookmarkEnd w:id="7"/>
      <w:r>
        <w:t xml:space="preserve">Итоги голосования по </w:t>
      </w:r>
      <w:r>
        <w:t xml:space="preserve">вопросу 7</w:t>
      </w:r>
      <w:r>
        <w:t xml:space="preserve"> повестки дня:</w:t>
      </w:r>
      <w:r/>
    </w:p>
    <w:p>
      <w:pPr>
        <w:pStyle w:val="838"/>
        <w:numPr>
          <w:ilvl w:val="0"/>
          <w:numId w:val="7"/>
        </w:numPr>
        <w:contextualSpacing w:val="0"/>
        <w:ind w:left="0" w:firstLine="0"/>
        <w:jc w:val="both"/>
        <w:spacing w:before="36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кумулятивных</w:t>
      </w:r>
      <w:r>
        <w:t xml:space="preserve">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7</w:t>
      </w:r>
      <w:r>
        <w:t xml:space="preserve"> </w:t>
      </w:r>
      <w:r>
        <w:t xml:space="preserve">повестки дня</w:t>
      </w:r>
      <w:r>
        <w:t xml:space="preserve">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66 044 475</w:t>
      </w:r>
      <w:r>
        <w:t xml:space="preserve">.</w:t>
      </w:r>
      <w:r/>
    </w:p>
    <w:p>
      <w:pPr>
        <w:pStyle w:val="838"/>
        <w:numPr>
          <w:ilvl w:val="0"/>
          <w:numId w:val="7"/>
        </w:numPr>
        <w:contextualSpacing w:val="0"/>
        <w:ind w:left="0" w:firstLine="0"/>
        <w:jc w:val="both"/>
        <w:spacing w:before="240" w:after="120"/>
        <w:tabs>
          <w:tab w:val="left" w:pos="284" w:leader="none"/>
        </w:tabs>
      </w:pPr>
      <w:r>
        <w:t xml:space="preserve">Число кумулятивных голосов, приходившихся на голосующие акции </w:t>
      </w:r>
      <w:r>
        <w:t xml:space="preserve">АО «Газпром газораспределение 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7</w:t>
      </w:r>
      <w:r>
        <w:t xml:space="preserve"> повестки дня, составило:</w:t>
      </w:r>
      <w:r>
        <w:t xml:space="preserve"> </w:t>
      </w:r>
      <w:r>
        <w:t xml:space="preserve">66 044 475</w:t>
      </w:r>
      <w:r>
        <w:t xml:space="preserve">.</w:t>
      </w:r>
      <w:r/>
    </w:p>
    <w:p>
      <w:pPr>
        <w:pStyle w:val="838"/>
        <w:numPr>
          <w:ilvl w:val="0"/>
          <w:numId w:val="7"/>
        </w:numPr>
        <w:contextualSpacing w:val="0"/>
        <w:ind w:left="0" w:firstLine="0"/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кумулятивных 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 </w:t>
      </w:r>
      <w:r>
        <w:t xml:space="preserve">по</w:t>
      </w:r>
      <w:r>
        <w:t xml:space="preserve"> вопросу 7 </w:t>
      </w:r>
      <w:r>
        <w:t xml:space="preserve">составило:</w:t>
      </w:r>
      <w:r>
        <w:t xml:space="preserve"> </w:t>
      </w:r>
      <w:r>
        <w:t xml:space="preserve">59 859 513</w:t>
      </w:r>
      <w:r>
        <w:t xml:space="preserve">.</w:t>
      </w:r>
      <w:r/>
    </w:p>
    <w:p>
      <w:pPr>
        <w:pStyle w:val="836"/>
        <w:jc w:val="both"/>
        <w:spacing w:before="240"/>
      </w:pPr>
      <w:r>
        <w:t xml:space="preserve">Д</w:t>
      </w:r>
      <w:r>
        <w:t xml:space="preserve">ля принятия решения по вопросу 7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36"/>
        <w:jc w:val="both"/>
        <w:spacing w:before="240" w:after="120"/>
        <w:tabs>
          <w:tab w:val="left" w:pos="284" w:leader="none"/>
        </w:tabs>
      </w:pPr>
      <w:r>
        <w:t xml:space="preserve">4</w:t>
      </w:r>
      <w:r>
        <w:t xml:space="preserve">.</w:t>
        <w:tab/>
      </w:r>
      <w:r>
        <w:t xml:space="preserve">Результаты распределения голосов по </w:t>
      </w:r>
      <w:r>
        <w:t xml:space="preserve">вопросу 7</w:t>
      </w:r>
      <w:r>
        <w:t xml:space="preserve"> повестки дня</w:t>
      </w:r>
      <w:r>
        <w:t xml:space="preserve">:</w:t>
      </w:r>
      <w:r/>
    </w:p>
    <w:tbl>
      <w:tblPr>
        <w:tblW w:w="9652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"/>
        <w:gridCol w:w="5040"/>
        <w:gridCol w:w="25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</w:t>
            </w:r>
            <w:r>
              <w:rPr>
                <w:sz w:val="20"/>
                <w:szCs w:val="20"/>
              </w:rPr>
            </w:r>
          </w:p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кандидата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9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  <w:t xml:space="preserve"> 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«ЗА»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кандидата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ПАХОМОВСКИЙ ЮРИЙ ВИТАЛЬЕВИЧ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8 580 057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14,3337%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ПРОХОРОВА ОЛЬГА ВЛАДИМИРОВНА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8 580 020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14,3336%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БЕЛЯЕВА НЕЛЛИ ВАДИМОВНА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8 580 020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14,3336%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ВЛАСЕНКО ВЕРОНИКА ВЛАДИМИРОВНА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8 580 020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14,3336%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ДУДКИН АЛЕКСЕЙ АЛЕКСАНДРОВИЧ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8 580 020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14,3336%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МИНЧЕНКО АЛЕКСЕЙ ВАЛЕРЬЕВИЧ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8 580 020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14,3336%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ШАРИПОВА ЗУЛЬФИЯ МИНГАЛЕЕВНА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2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0,0000%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КНЯЗЕВА НАТАЛЬЯ БОРИСОВНА</w:t>
            </w:r>
            <w:r/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t xml:space="preserve">8 293 534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bCs/>
              </w:rPr>
            </w:pPr>
            <w:r>
              <w:t xml:space="preserve">13,8550%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652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2"/>
            <w:tcW w:w="5692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ПРОТИВ ВСЕХ КАНДИДАТОВ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rPr>
                <w:lang w:val="en-US"/>
              </w:rPr>
              <w:t xml:space="preserve">0,0000%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2"/>
            <w:tcW w:w="5692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ВОЗДЕРЖАЛСЯ ПО ВСЕМ КАНДИДАТАМ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1 148</w:t>
            </w:r>
            <w:r>
              <w:rPr>
                <w:lang w:val="en-US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</w:pPr>
            <w:r>
              <w:rPr>
                <w:lang w:val="en-US"/>
              </w:rPr>
              <w:t xml:space="preserve">0,0019%</w:t>
            </w:r>
            <w:r/>
          </w:p>
        </w:tc>
      </w:tr>
    </w:tbl>
    <w:p>
      <w:pPr>
        <w:pStyle w:val="836"/>
        <w:jc w:val="both"/>
        <w:spacing w:before="240"/>
        <w:tabs>
          <w:tab w:val="left" w:pos="284" w:leader="none"/>
        </w:tabs>
      </w:pPr>
      <w:r>
        <w:t xml:space="preserve">5</w:t>
      </w:r>
      <w:r>
        <w:t xml:space="preserve">.</w:t>
        <w:tab/>
        <w:t xml:space="preserve">Число</w:t>
      </w:r>
      <w:r>
        <w:t xml:space="preserve"> </w:t>
      </w:r>
      <w:r>
        <w:t xml:space="preserve">кумулятивных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вопросу 7</w:t>
      </w:r>
      <w:r>
        <w:t xml:space="preserve"> повестки дня</w:t>
      </w:r>
      <w:r>
        <w:t xml:space="preserve">, </w:t>
      </w:r>
      <w:r>
        <w:t xml:space="preserve">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составило:</w:t>
      </w:r>
      <w:r>
        <w:t xml:space="preserve"> </w:t>
      </w:r>
      <w:r>
        <w:t xml:space="preserve">84 672</w:t>
      </w:r>
      <w:r>
        <w:t xml:space="preserve"> (0,1415%)</w:t>
      </w:r>
      <w:r>
        <w:t xml:space="preserve">.</w:t>
      </w:r>
      <w:r/>
    </w:p>
    <w:p>
      <w:pPr>
        <w:pStyle w:val="836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  <w:tab/>
      </w:r>
      <w:bookmarkStart w:id="8" w:name="_GoBack_0_0"/>
      <w:r/>
      <w:bookmarkEnd w:id="8"/>
      <w:r>
        <w:t xml:space="preserve">Формулировка решения, принятого общим собранием, по </w:t>
      </w:r>
      <w:r>
        <w:t xml:space="preserve">вопросу 7</w:t>
      </w:r>
      <w:r>
        <w:t xml:space="preserve"> повестки дня:</w:t>
      </w:r>
      <w:r/>
    </w:p>
    <w:p>
      <w:pPr>
        <w:pStyle w:val="836"/>
        <w:ind w:left="357"/>
        <w:jc w:val="both"/>
        <w:spacing w:before="120" w:after="120"/>
        <w:rPr>
          <w:b/>
          <w:bCs/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Избрать Совет директоров Общества в следующем составе:</w:t>
      </w:r>
      <w:r>
        <w:rPr>
          <w:i/>
          <w:iCs/>
        </w:rPr>
        <w:t xml:space="preserve">»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tbl>
      <w:tblPr>
        <w:tblW w:w="9302" w:type="dxa"/>
        <w:tblInd w:w="3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2"/>
        <w:gridCol w:w="864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ПАХОМОВСКИЙ ЮРИЙ ВИТАЛЬЕВИЧ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ПРОХОРОВА ОЛЬГА ВЛАДИМИРОВНА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БЕЛЯЕВА НЕЛЛИ ВАДИМОВНА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ВЛАСЕНКО ВЕРОНИКА ВЛАДИМИРОВНА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ДУДКИН АЛЕКСЕЙ АЛЕКСАНДРОВИЧ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6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МИНЧЕНКО АЛЕКСЕЙ ВАЛЕРЬЕВИЧ</w:t>
            </w:r>
            <w:r/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t xml:space="preserve">КНЯЗЕВА НАТАЛЬЯ БОРИСОВНА</w:t>
            </w:r>
            <w:r/>
          </w:p>
        </w:tc>
      </w:tr>
    </w:tbl>
    <w:p>
      <w:pPr>
        <w:pStyle w:val="836"/>
        <w:jc w:val="both"/>
        <w:spacing w:after="240"/>
        <w:tabs>
          <w:tab w:val="center" w:pos="4748" w:leader="none"/>
        </w:tabs>
        <w:sectPr>
          <w:headerReference w:type="default" r:id="rId18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841"/>
        <w:spacing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8</w:t>
      </w:r>
      <w:r>
        <w:t xml:space="preserve"> повестки дня:</w:t>
      </w:r>
      <w:r/>
    </w:p>
    <w:p>
      <w:pPr>
        <w:pStyle w:val="841"/>
        <w:numPr>
          <w:ilvl w:val="0"/>
          <w:numId w:val="8"/>
        </w:numPr>
        <w:ind w:left="0" w:firstLine="0"/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8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41"/>
        <w:numPr>
          <w:ilvl w:val="0"/>
          <w:numId w:val="8"/>
        </w:numPr>
        <w:ind w:left="0" w:firstLine="0"/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8</w:t>
      </w:r>
      <w:r>
        <w:t xml:space="preserve"> повестки дня составило:</w:t>
      </w:r>
      <w:r>
        <w:t xml:space="preserve"> </w:t>
      </w:r>
      <w:bookmarkStart w:id="9" w:name="_GoBack_7"/>
      <w:r/>
      <w:bookmarkEnd w:id="9"/>
      <w:r>
        <w:t xml:space="preserve">9 434 925</w:t>
      </w:r>
      <w:r>
        <w:t xml:space="preserve">.</w:t>
      </w:r>
      <w:r/>
    </w:p>
    <w:p>
      <w:pPr>
        <w:pStyle w:val="841"/>
        <w:numPr>
          <w:ilvl w:val="0"/>
          <w:numId w:val="8"/>
        </w:numPr>
        <w:ind w:left="0" w:firstLine="0"/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 </w:t>
      </w:r>
      <w:r>
        <w:t xml:space="preserve">по</w:t>
      </w:r>
      <w:r>
        <w:t xml:space="preserve"> вопросу 8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41"/>
        <w:jc w:val="both"/>
        <w:spacing w:before="240"/>
      </w:pPr>
      <w:r>
        <w:t xml:space="preserve">Д</w:t>
      </w:r>
      <w:r>
        <w:t xml:space="preserve">ля принятия решения по вопросу 8</w:t>
      </w:r>
      <w:r>
        <w:t xml:space="preserve"> </w:t>
      </w:r>
      <w:r>
        <w:t xml:space="preserve">повестки дня</w:t>
      </w:r>
      <w:r>
        <w:t xml:space="preserve"> кворум имелся</w:t>
      </w:r>
      <w:r>
        <w:t xml:space="preserve">.</w:t>
      </w:r>
      <w:r/>
    </w:p>
    <w:p>
      <w:pPr>
        <w:pStyle w:val="841"/>
        <w:jc w:val="both"/>
        <w:spacing w:before="240" w:after="120"/>
        <w:tabs>
          <w:tab w:val="left" w:pos="284" w:leader="none"/>
        </w:tabs>
      </w:pPr>
      <w:r>
        <w:t xml:space="preserve">4</w:t>
      </w:r>
      <w:r>
        <w:t xml:space="preserve">.</w:t>
        <w:tab/>
      </w:r>
      <w:r>
        <w:t xml:space="preserve">Результаты распределения голосов по </w:t>
      </w:r>
      <w:r>
        <w:t xml:space="preserve">вопросу 8</w:t>
      </w:r>
      <w:r>
        <w:t xml:space="preserve"> повестки дня</w:t>
      </w:r>
      <w:r>
        <w:t xml:space="preserve">:</w:t>
      </w:r>
      <w:r/>
    </w:p>
    <w:tbl>
      <w:tblPr>
        <w:tblW w:w="986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</w:t>
              <w:br w:type="textWrapping" w:clear="all"/>
              <w:t xml:space="preserve">кандидата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66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</w:t>
            </w:r>
            <w:r>
              <w:rPr>
                <w:sz w:val="16"/>
                <w:szCs w:val="16"/>
              </w:rPr>
              <w:t xml:space="preserve"> 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16"/>
                <w:szCs w:val="16"/>
              </w:rPr>
              <w:t xml:space="preserve">«ЗА»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7" w:type="dxa"/>
              <w:right w:w="57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sz w:val="16"/>
                <w:szCs w:val="16"/>
              </w:rPr>
              <w:t xml:space="preserve">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16"/>
                <w:szCs w:val="16"/>
              </w:rPr>
              <w:t xml:space="preserve">«ПРОТИВ»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7" w:type="dxa"/>
              <w:right w:w="57" w:type="dxa"/>
            </w:tcMa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</w:t>
            </w:r>
            <w:r>
              <w:rPr>
                <w:sz w:val="16"/>
                <w:szCs w:val="16"/>
              </w:rPr>
              <w:br w:type="textWrapping" w:clear="all"/>
            </w:r>
            <w:r>
              <w:rPr>
                <w:sz w:val="16"/>
                <w:szCs w:val="16"/>
              </w:rPr>
              <w:t xml:space="preserve">голосов</w:t>
              <w:br w:type="textWrapping" w:clear="all"/>
            </w:r>
            <w:r>
              <w:rPr>
                <w:b/>
                <w:bCs/>
                <w:sz w:val="14"/>
                <w:szCs w:val="14"/>
              </w:rPr>
              <w:t xml:space="preserve">«ВОЗДЕРЖАЛСЯ»</w:t>
            </w:r>
            <w:r>
              <w:rPr>
                <w:sz w:val="16"/>
                <w:szCs w:val="16"/>
              </w:rPr>
              <w:br w:type="textWrapping" w:clear="all"/>
              <w:t xml:space="preserve">при голосовании</w:t>
            </w:r>
            <w:r>
              <w:rPr>
                <w:sz w:val="16"/>
                <w:szCs w:val="16"/>
              </w:rPr>
            </w:r>
          </w:p>
        </w:tc>
        <w:tc>
          <w:tcPr>
            <w:tcW w:w="1098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голосов по бюллетеням, признанным недействительными по кандидату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ХАЧАТРЯН СЕРГЕЙ АРАМОВИЧ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0,0000%</w:t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7 402 387</w:t>
            </w:r>
            <w:r>
              <w:rPr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1 136 876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312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ШЕВЫРЕВ СЕРГЕЙ ВИКТОРОВИЧ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7 156 970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83,6939%</w:t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245 729</w:t>
            </w:r>
            <w:r>
              <w:rPr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1 136 876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ЧАЩИХИН МИХАИЛ ИВАНОВИЧ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0,0000%</w:t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7 402 387</w:t>
            </w:r>
            <w:r>
              <w:rPr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1 136 876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312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ЛЕБЕДЕВ АЛЕКСАНДР СЕРГЕЕВИЧ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7 402 699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86,5675%</w:t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1 136 876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8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 АЛЕКСЕЙ АНАТОЛЬЕВИЧ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7 402 699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86,5675%</w:t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1 136 876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</w:tbl>
    <w:p>
      <w:pPr>
        <w:pStyle w:val="841"/>
        <w:jc w:val="both"/>
        <w:spacing w:before="240"/>
        <w:tabs>
          <w:tab w:val="left" w:pos="284" w:leader="none"/>
        </w:tabs>
      </w:pPr>
      <w:r>
        <w:t xml:space="preserve">5</w:t>
      </w:r>
      <w:r>
        <w:t xml:space="preserve">.</w:t>
        <w:tab/>
      </w:r>
      <w:bookmarkStart w:id="10" w:name="_GoBack_0_1"/>
      <w:r/>
      <w:bookmarkEnd w:id="10"/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вопросу 8</w:t>
      </w:r>
      <w:r>
        <w:t xml:space="preserve"> повестки дня</w:t>
      </w:r>
      <w:r>
        <w:t xml:space="preserve"> </w:t>
      </w:r>
      <w:r>
        <w:t xml:space="preserve">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составило:</w:t>
      </w:r>
      <w:r>
        <w:t xml:space="preserve"> </w:t>
      </w:r>
      <w:r>
        <w:t xml:space="preserve">11 784</w:t>
      </w:r>
      <w:r>
        <w:t xml:space="preserve"> (0,1378%)</w:t>
      </w:r>
      <w:r>
        <w:t xml:space="preserve">.</w:t>
      </w:r>
      <w:r/>
    </w:p>
    <w:p>
      <w:pPr>
        <w:pStyle w:val="841"/>
        <w:jc w:val="both"/>
        <w:spacing w:before="240" w:after="120"/>
        <w:tabs>
          <w:tab w:val="left" w:pos="284" w:leader="none"/>
        </w:tabs>
      </w:pPr>
      <w:r>
        <w:t xml:space="preserve">6</w:t>
      </w:r>
      <w:r>
        <w:t xml:space="preserve">.</w:t>
        <w:tab/>
      </w:r>
      <w:r>
        <w:t xml:space="preserve">Формулировка решения, принятого общим собранием, по </w:t>
      </w:r>
      <w:r>
        <w:t xml:space="preserve">вопросу 8</w:t>
      </w:r>
      <w:r>
        <w:t xml:space="preserve"> повестки дня:</w:t>
      </w:r>
      <w:r/>
    </w:p>
    <w:p>
      <w:pPr>
        <w:pStyle w:val="841"/>
        <w:ind w:left="360"/>
        <w:jc w:val="both"/>
        <w:spacing w:before="120" w:after="120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Избрать ревизионную комиссию Общества в следующем составе:</w:t>
      </w:r>
      <w:r>
        <w:rPr>
          <w:i/>
          <w:iCs/>
        </w:rPr>
        <w:t xml:space="preserve">»</w:t>
      </w:r>
      <w:r>
        <w:rPr>
          <w:i/>
          <w:iCs/>
        </w:rPr>
      </w:r>
      <w:r>
        <w:rPr>
          <w:i/>
          <w:iCs/>
        </w:rPr>
      </w:r>
    </w:p>
    <w:tbl>
      <w:tblPr>
        <w:tblW w:w="7848" w:type="dxa"/>
        <w:tblInd w:w="3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720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841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ЛЕБЕДЕВ АЛЕКСАНДР СЕРГЕЕВИЧ</w:t>
            </w:r>
            <w:r>
              <w:rPr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841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МОРОЗОВ АЛЕКСЕЙ АНАТОЛЬЕВИЧ</w:t>
            </w:r>
            <w:r>
              <w:rPr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841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ШЕВЫРЕВ СЕРГЕЙ ВИКТОРОВИЧ</w:t>
            </w:r>
            <w:r>
              <w:rPr>
                <w:lang w:val="en-US"/>
              </w:rPr>
            </w:r>
          </w:p>
        </w:tc>
      </w:tr>
    </w:tbl>
    <w:p>
      <w:pPr>
        <w:pStyle w:val="841"/>
        <w:jc w:val="both"/>
        <w:spacing w:before="240"/>
        <w:rPr>
          <w:sz w:val="22"/>
          <w:szCs w:val="22"/>
        </w:rPr>
        <w:sectPr>
          <w:headerReference w:type="default" r:id="rId19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4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9</w:t>
      </w:r>
      <w:r>
        <w:t xml:space="preserve"> повестки дня:</w:t>
      </w:r>
      <w:r/>
    </w:p>
    <w:p>
      <w:pPr>
        <w:pStyle w:val="844"/>
        <w:numPr>
          <w:ilvl w:val="0"/>
          <w:numId w:val="9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9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44"/>
        <w:numPr>
          <w:ilvl w:val="0"/>
          <w:numId w:val="9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9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44"/>
        <w:numPr>
          <w:ilvl w:val="0"/>
          <w:numId w:val="9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r>
        <w:t xml:space="preserve">по</w:t>
      </w:r>
      <w:r>
        <w:t xml:space="preserve"> вопросу 9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44"/>
        <w:jc w:val="both"/>
        <w:spacing w:before="240"/>
      </w:pPr>
      <w:r>
        <w:t xml:space="preserve">Д</w:t>
      </w:r>
      <w:r>
        <w:t xml:space="preserve">ля принятия решения по вопросу 9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44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9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7 414 483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(86,7053%)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1 136 876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(13,2947%)</w:t>
            </w:r>
            <w:r>
              <w:rPr>
                <w:lang w:val="en-US"/>
              </w:rPr>
            </w:r>
          </w:p>
        </w:tc>
      </w:tr>
    </w:tbl>
    <w:p>
      <w:pPr>
        <w:pStyle w:val="844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9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0 (0,0000%)</w:t>
      </w:r>
      <w:r>
        <w:t xml:space="preserve">.</w:t>
      </w:r>
      <w:r/>
    </w:p>
    <w:p>
      <w:pPr>
        <w:pStyle w:val="844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9</w:t>
      </w:r>
      <w:r>
        <w:t xml:space="preserve"> повестки дня:</w:t>
      </w:r>
      <w:r/>
    </w:p>
    <w:p>
      <w:pPr>
        <w:pStyle w:val="844"/>
        <w:ind w:left="357"/>
        <w:jc w:val="both"/>
        <w:spacing w:before="120" w:after="120"/>
        <w:rPr>
          <w:i/>
          <w:iCs/>
        </w:rPr>
        <w:sectPr>
          <w:headerReference w:type="default" r:id="rId20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«Назначить ООО</w:t>
      </w:r>
      <w:r>
        <w:rPr>
          <w:i/>
          <w:iCs/>
          <w:lang w:val="en-US"/>
        </w:rPr>
        <w:t xml:space="preserve"> </w:t>
      </w:r>
      <w:r>
        <w:rPr>
          <w:i/>
          <w:iCs/>
        </w:rPr>
        <w:t xml:space="preserve">«Аудит-НТ» аудиторской организацией по аудиту бухгалтерской (финансовой) отчетности Общества за 2024 год.»</w:t>
      </w:r>
      <w:r>
        <w:rPr>
          <w:i/>
          <w:iCs/>
        </w:rPr>
      </w:r>
    </w:p>
    <w:p>
      <w:pPr>
        <w:pStyle w:val="847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10</w:t>
      </w:r>
      <w:r>
        <w:t xml:space="preserve"> повестки дня:</w:t>
      </w:r>
      <w:r/>
    </w:p>
    <w:p>
      <w:pPr>
        <w:pStyle w:val="847"/>
        <w:numPr>
          <w:ilvl w:val="0"/>
          <w:numId w:val="10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10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47"/>
        <w:numPr>
          <w:ilvl w:val="0"/>
          <w:numId w:val="10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</w:t>
      </w:r>
      <w:r>
        <w:t xml:space="preserve"> </w:t>
      </w:r>
      <w:r>
        <w:t xml:space="preserve">«Газпром</w:t>
      </w:r>
      <w:r>
        <w:t xml:space="preserve"> </w:t>
      </w:r>
      <w:r>
        <w:t xml:space="preserve">газораспределение</w:t>
      </w:r>
      <w:r>
        <w:t xml:space="preserve"> </w:t>
      </w:r>
      <w:r>
        <w:t xml:space="preserve">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10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847"/>
        <w:numPr>
          <w:ilvl w:val="0"/>
          <w:numId w:val="10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r>
        <w:t xml:space="preserve">по</w:t>
      </w:r>
      <w:r>
        <w:t xml:space="preserve"> вопросу 10 </w:t>
      </w:r>
      <w:r>
        <w:t xml:space="preserve">повестки дня составило:</w:t>
      </w:r>
      <w:r>
        <w:t xml:space="preserve"> </w:t>
      </w:r>
      <w:r>
        <w:t xml:space="preserve">8 551 359</w:t>
      </w:r>
      <w:r>
        <w:t xml:space="preserve">.</w:t>
      </w:r>
      <w:r/>
    </w:p>
    <w:p>
      <w:pPr>
        <w:pStyle w:val="847"/>
        <w:jc w:val="both"/>
        <w:spacing w:before="240"/>
      </w:pPr>
      <w:r>
        <w:t xml:space="preserve">Д</w:t>
      </w:r>
      <w:r>
        <w:t xml:space="preserve">ля принятия решения по вопросу 10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847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10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847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8 551 195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(99,9981%)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164</w:t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(0,0019%)</w:t>
            </w:r>
            <w:r>
              <w:rPr>
                <w:lang w:val="en-US"/>
              </w:rPr>
            </w:r>
          </w:p>
        </w:tc>
      </w:tr>
    </w:tbl>
    <w:p>
      <w:pPr>
        <w:pStyle w:val="847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10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0 (0,0000%)</w:t>
      </w:r>
      <w:r>
        <w:t xml:space="preserve">.</w:t>
      </w:r>
      <w:r/>
    </w:p>
    <w:p>
      <w:pPr>
        <w:pStyle w:val="847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10</w:t>
      </w:r>
      <w:r>
        <w:t xml:space="preserve"> повестки дня:</w:t>
      </w:r>
      <w:r/>
    </w:p>
    <w:p>
      <w:pPr>
        <w:pStyle w:val="847"/>
        <w:ind w:left="357"/>
        <w:jc w:val="both"/>
        <w:spacing w:before="120" w:after="120"/>
        <w:rPr>
          <w:i/>
          <w:iCs/>
        </w:rPr>
        <w:outlineLvl w:val="0"/>
      </w:pPr>
      <w:r>
        <w:rPr>
          <w:i/>
          <w:iCs/>
        </w:rPr>
        <w:t xml:space="preserve">«Утвердить Устав Общества в новой редакции.»</w:t>
      </w:r>
      <w:r>
        <w:rPr>
          <w:i/>
          <w:iCs/>
        </w:rPr>
      </w:r>
    </w:p>
    <w:p>
      <w:pPr>
        <w:pStyle w:val="852"/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5173"/>
      </w:tblGrid>
      <w:tr>
        <w:tblPrEx/>
        <w:trPr/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Председательствующий на общем собрании</w:t>
            </w:r>
            <w:r>
              <w:rPr>
                <w:sz w:val="24"/>
                <w:szCs w:val="24"/>
              </w:rPr>
            </w:r>
          </w:p>
        </w:tc>
        <w:tc>
          <w:tcPr>
            <w:tcW w:w="5173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Прохорова Ольга Владимировна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89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Секретарь общего собрания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3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Синев Алексей Васильевич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3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</w:tbl>
    <w:sectPr>
      <w:headerReference w:type="default" r:id="rId21"/>
      <w:footnotePr>
        <w:pos w:val="beneathText"/>
      </w:footnotePr>
      <w:endnotePr/>
      <w:type w:val="nextPage"/>
      <w:pgSz w:w="11906" w:h="16838" w:orient="portrait"/>
      <w:pgMar w:top="567" w:right="709" w:bottom="567" w:left="1701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right"/>
    </w:pPr>
    <w:r/>
    <w:r/>
  </w:p>
  <w:p>
    <w:pPr>
      <w:pStyle w:val="8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8"/>
    <w:next w:val="8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8"/>
    <w:next w:val="8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8"/>
    <w:next w:val="8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8"/>
    <w:next w:val="8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8"/>
    <w:next w:val="8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8"/>
    <w:next w:val="8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8"/>
    <w:next w:val="8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8"/>
    <w:next w:val="8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8"/>
    <w:next w:val="8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8"/>
    <w:next w:val="8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08"/>
    <w:next w:val="8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08"/>
    <w:next w:val="8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8"/>
    <w:next w:val="8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next w:val="808"/>
    <w:link w:val="808"/>
    <w:qFormat/>
    <w:rPr>
      <w:sz w:val="24"/>
      <w:szCs w:val="24"/>
      <w:lang w:val="ru-RU" w:eastAsia="ru-RU" w:bidi="ar-SA"/>
    </w:rPr>
  </w:style>
  <w:style w:type="character" w:styleId="809">
    <w:name w:val="Основной шрифт абзаца"/>
    <w:next w:val="809"/>
    <w:link w:val="808"/>
    <w:semiHidden/>
  </w:style>
  <w:style w:type="table" w:styleId="810">
    <w:name w:val="Обычная таблица"/>
    <w:next w:val="810"/>
    <w:link w:val="808"/>
    <w:semiHidden/>
    <w:tblPr/>
  </w:style>
  <w:style w:type="numbering" w:styleId="811">
    <w:name w:val="Нет списка"/>
    <w:next w:val="811"/>
    <w:link w:val="808"/>
    <w:semiHidden/>
  </w:style>
  <w:style w:type="paragraph" w:styleId="812">
    <w:name w:val="Верхний колонтитул"/>
    <w:basedOn w:val="813"/>
    <w:next w:val="812"/>
    <w:link w:val="814"/>
    <w:uiPriority w:val="99"/>
    <w:pPr>
      <w:tabs>
        <w:tab w:val="center" w:pos="4677" w:leader="none"/>
        <w:tab w:val="right" w:pos="9355" w:leader="none"/>
      </w:tabs>
    </w:pPr>
  </w:style>
  <w:style w:type="paragraph" w:styleId="813">
    <w:name w:val="Normal_0"/>
    <w:next w:val="813"/>
    <w:link w:val="808"/>
    <w:qFormat/>
    <w:rPr>
      <w:sz w:val="24"/>
      <w:szCs w:val="24"/>
      <w:lang w:val="ru-RU" w:eastAsia="ru-RU" w:bidi="ar-SA"/>
    </w:rPr>
  </w:style>
  <w:style w:type="character" w:styleId="814">
    <w:name w:val="Верхний колонтитул Знак"/>
    <w:next w:val="814"/>
    <w:link w:val="812"/>
    <w:uiPriority w:val="99"/>
    <w:semiHidden/>
    <w:rPr>
      <w:rFonts w:cs="Times New Roman"/>
      <w:sz w:val="24"/>
      <w:szCs w:val="24"/>
    </w:rPr>
  </w:style>
  <w:style w:type="paragraph" w:styleId="815">
    <w:name w:val="Нижний колонтитул"/>
    <w:basedOn w:val="813"/>
    <w:next w:val="815"/>
    <w:link w:val="816"/>
    <w:uiPriority w:val="99"/>
    <w:pPr>
      <w:tabs>
        <w:tab w:val="center" w:pos="4677" w:leader="none"/>
        <w:tab w:val="right" w:pos="9355" w:leader="none"/>
      </w:tabs>
    </w:pPr>
  </w:style>
  <w:style w:type="character" w:styleId="816">
    <w:name w:val="Нижний колонтитул Знак"/>
    <w:next w:val="816"/>
    <w:link w:val="815"/>
    <w:uiPriority w:val="99"/>
    <w:rPr>
      <w:rFonts w:cs="Times New Roman"/>
      <w:sz w:val="24"/>
      <w:szCs w:val="24"/>
    </w:rPr>
  </w:style>
  <w:style w:type="paragraph" w:styleId="817">
    <w:name w:val="Header_0"/>
    <w:basedOn w:val="818"/>
    <w:next w:val="817"/>
    <w:link w:val="819"/>
    <w:uiPriority w:val="99"/>
    <w:pPr>
      <w:tabs>
        <w:tab w:val="center" w:pos="4677" w:leader="none"/>
        <w:tab w:val="right" w:pos="9355" w:leader="none"/>
      </w:tabs>
    </w:pPr>
  </w:style>
  <w:style w:type="paragraph" w:styleId="818">
    <w:name w:val="Normal_1"/>
    <w:next w:val="818"/>
    <w:link w:val="808"/>
    <w:qFormat/>
    <w:rPr>
      <w:sz w:val="24"/>
      <w:szCs w:val="24"/>
      <w:lang w:val="ru-RU" w:eastAsia="ru-RU" w:bidi="ar-SA"/>
    </w:rPr>
  </w:style>
  <w:style w:type="character" w:styleId="819">
    <w:name w:val="Верхний колонтитул Знак_0"/>
    <w:next w:val="819"/>
    <w:link w:val="817"/>
    <w:uiPriority w:val="99"/>
    <w:semiHidden/>
    <w:rPr>
      <w:rFonts w:cs="Times New Roman"/>
      <w:sz w:val="24"/>
      <w:szCs w:val="24"/>
    </w:rPr>
  </w:style>
  <w:style w:type="paragraph" w:styleId="820">
    <w:name w:val="Header_1"/>
    <w:basedOn w:val="821"/>
    <w:next w:val="820"/>
    <w:link w:val="822"/>
    <w:uiPriority w:val="99"/>
    <w:pPr>
      <w:tabs>
        <w:tab w:val="center" w:pos="4677" w:leader="none"/>
        <w:tab w:val="right" w:pos="9355" w:leader="none"/>
      </w:tabs>
    </w:pPr>
  </w:style>
  <w:style w:type="paragraph" w:styleId="821">
    <w:name w:val="Normal_2"/>
    <w:next w:val="821"/>
    <w:link w:val="808"/>
    <w:qFormat/>
    <w:rPr>
      <w:sz w:val="24"/>
      <w:szCs w:val="24"/>
      <w:lang w:val="ru-RU" w:eastAsia="ru-RU" w:bidi="ar-SA"/>
    </w:rPr>
  </w:style>
  <w:style w:type="character" w:styleId="822">
    <w:name w:val="Верхний колонтитул Знак_1"/>
    <w:next w:val="822"/>
    <w:link w:val="820"/>
    <w:uiPriority w:val="99"/>
    <w:semiHidden/>
    <w:rPr>
      <w:rFonts w:cs="Times New Roman"/>
      <w:sz w:val="24"/>
      <w:szCs w:val="24"/>
    </w:rPr>
  </w:style>
  <w:style w:type="paragraph" w:styleId="823">
    <w:name w:val="Header_2"/>
    <w:basedOn w:val="824"/>
    <w:next w:val="823"/>
    <w:link w:val="825"/>
    <w:uiPriority w:val="99"/>
    <w:pPr>
      <w:tabs>
        <w:tab w:val="center" w:pos="4677" w:leader="none"/>
        <w:tab w:val="right" w:pos="9355" w:leader="none"/>
      </w:tabs>
    </w:pPr>
  </w:style>
  <w:style w:type="paragraph" w:styleId="824">
    <w:name w:val="Normal_3"/>
    <w:next w:val="824"/>
    <w:link w:val="808"/>
    <w:qFormat/>
    <w:rPr>
      <w:sz w:val="24"/>
      <w:szCs w:val="24"/>
      <w:lang w:val="ru-RU" w:eastAsia="ru-RU" w:bidi="ar-SA"/>
    </w:rPr>
  </w:style>
  <w:style w:type="character" w:styleId="825">
    <w:name w:val="Верхний колонтитул Знак_2"/>
    <w:next w:val="825"/>
    <w:link w:val="823"/>
    <w:uiPriority w:val="99"/>
    <w:semiHidden/>
    <w:rPr>
      <w:rFonts w:cs="Times New Roman"/>
      <w:sz w:val="24"/>
      <w:szCs w:val="24"/>
    </w:rPr>
  </w:style>
  <w:style w:type="paragraph" w:styleId="826">
    <w:name w:val="Header_3"/>
    <w:basedOn w:val="827"/>
    <w:next w:val="826"/>
    <w:link w:val="828"/>
    <w:uiPriority w:val="99"/>
    <w:pPr>
      <w:tabs>
        <w:tab w:val="center" w:pos="4677" w:leader="none"/>
        <w:tab w:val="right" w:pos="9355" w:leader="none"/>
      </w:tabs>
    </w:pPr>
  </w:style>
  <w:style w:type="paragraph" w:styleId="827">
    <w:name w:val="Normal_4"/>
    <w:next w:val="827"/>
    <w:link w:val="808"/>
    <w:qFormat/>
    <w:rPr>
      <w:sz w:val="24"/>
      <w:szCs w:val="24"/>
      <w:lang w:val="ru-RU" w:eastAsia="ru-RU" w:bidi="ar-SA"/>
    </w:rPr>
  </w:style>
  <w:style w:type="character" w:styleId="828">
    <w:name w:val="Верхний колонтитул Знак_3"/>
    <w:next w:val="828"/>
    <w:link w:val="826"/>
    <w:uiPriority w:val="99"/>
    <w:semiHidden/>
    <w:rPr>
      <w:rFonts w:cs="Times New Roman"/>
      <w:sz w:val="24"/>
      <w:szCs w:val="24"/>
    </w:rPr>
  </w:style>
  <w:style w:type="paragraph" w:styleId="829">
    <w:name w:val="Header_4"/>
    <w:basedOn w:val="830"/>
    <w:next w:val="829"/>
    <w:link w:val="831"/>
    <w:uiPriority w:val="99"/>
    <w:pPr>
      <w:tabs>
        <w:tab w:val="center" w:pos="4677" w:leader="none"/>
        <w:tab w:val="right" w:pos="9355" w:leader="none"/>
      </w:tabs>
    </w:pPr>
  </w:style>
  <w:style w:type="paragraph" w:styleId="830">
    <w:name w:val="Normal_5"/>
    <w:next w:val="830"/>
    <w:link w:val="808"/>
    <w:qFormat/>
    <w:rPr>
      <w:sz w:val="24"/>
      <w:szCs w:val="24"/>
      <w:lang w:val="ru-RU" w:eastAsia="ru-RU" w:bidi="ar-SA"/>
    </w:rPr>
  </w:style>
  <w:style w:type="character" w:styleId="831">
    <w:name w:val="Верхний колонтитул Знак_4"/>
    <w:next w:val="831"/>
    <w:link w:val="829"/>
    <w:uiPriority w:val="99"/>
    <w:semiHidden/>
    <w:rPr>
      <w:rFonts w:cs="Times New Roman"/>
      <w:sz w:val="24"/>
      <w:szCs w:val="24"/>
    </w:rPr>
  </w:style>
  <w:style w:type="paragraph" w:styleId="832">
    <w:name w:val="Header_5"/>
    <w:basedOn w:val="833"/>
    <w:next w:val="832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3">
    <w:name w:val="Normal_6"/>
    <w:next w:val="833"/>
    <w:link w:val="808"/>
    <w:qFormat/>
    <w:rPr>
      <w:sz w:val="24"/>
      <w:szCs w:val="24"/>
      <w:lang w:val="ru-RU" w:eastAsia="ru-RU" w:bidi="ar-SA"/>
    </w:rPr>
  </w:style>
  <w:style w:type="character" w:styleId="834">
    <w:name w:val="Верхний колонтитул Знак_5"/>
    <w:next w:val="834"/>
    <w:link w:val="832"/>
    <w:uiPriority w:val="99"/>
    <w:semiHidden/>
    <w:rPr>
      <w:rFonts w:cs="Times New Roman"/>
      <w:sz w:val="24"/>
      <w:szCs w:val="24"/>
    </w:rPr>
  </w:style>
  <w:style w:type="paragraph" w:styleId="835">
    <w:name w:val="Header_6"/>
    <w:basedOn w:val="836"/>
    <w:next w:val="835"/>
    <w:link w:val="837"/>
    <w:uiPriority w:val="99"/>
    <w:pPr>
      <w:tabs>
        <w:tab w:val="center" w:pos="4677" w:leader="none"/>
        <w:tab w:val="right" w:pos="9355" w:leader="none"/>
      </w:tabs>
    </w:pPr>
  </w:style>
  <w:style w:type="paragraph" w:styleId="836">
    <w:name w:val="Normal_7"/>
    <w:next w:val="836"/>
    <w:link w:val="808"/>
    <w:qFormat/>
    <w:rPr>
      <w:sz w:val="24"/>
      <w:szCs w:val="24"/>
      <w:lang w:val="ru-RU" w:eastAsia="ru-RU" w:bidi="ar-SA"/>
    </w:rPr>
  </w:style>
  <w:style w:type="character" w:styleId="837">
    <w:name w:val="Верхний колонтитул Знак_6"/>
    <w:next w:val="837"/>
    <w:link w:val="835"/>
    <w:uiPriority w:val="99"/>
    <w:semiHidden/>
    <w:rPr>
      <w:sz w:val="24"/>
      <w:szCs w:val="24"/>
    </w:rPr>
  </w:style>
  <w:style w:type="paragraph" w:styleId="838">
    <w:name w:val="Абзац списка"/>
    <w:basedOn w:val="836"/>
    <w:next w:val="838"/>
    <w:link w:val="808"/>
    <w:uiPriority w:val="34"/>
    <w:qFormat/>
    <w:pPr>
      <w:contextualSpacing/>
      <w:ind w:left="720"/>
    </w:pPr>
  </w:style>
  <w:style w:type="table" w:styleId="839">
    <w:name w:val="Сетка таблицы"/>
    <w:basedOn w:val="810"/>
    <w:next w:val="839"/>
    <w:link w:val="808"/>
    <w:uiPriority w:val="99"/>
    <w:pPr>
      <w:spacing w:after="0" w:line="240" w:lineRule="auto"/>
    </w:pPr>
    <w:rPr>
      <w:sz w:val="20"/>
      <w:szCs w:val="20"/>
    </w:rPr>
    <w:tblPr/>
  </w:style>
  <w:style w:type="paragraph" w:styleId="840">
    <w:name w:val="Header_7"/>
    <w:basedOn w:val="841"/>
    <w:next w:val="840"/>
    <w:link w:val="842"/>
    <w:uiPriority w:val="99"/>
    <w:pPr>
      <w:tabs>
        <w:tab w:val="center" w:pos="4677" w:leader="none"/>
        <w:tab w:val="right" w:pos="9355" w:leader="none"/>
      </w:tabs>
    </w:pPr>
  </w:style>
  <w:style w:type="paragraph" w:styleId="841">
    <w:name w:val="Normal_8"/>
    <w:next w:val="841"/>
    <w:link w:val="808"/>
    <w:qFormat/>
    <w:rPr>
      <w:sz w:val="24"/>
      <w:szCs w:val="24"/>
      <w:lang w:val="ru-RU" w:eastAsia="ru-RU" w:bidi="ar-SA"/>
    </w:rPr>
  </w:style>
  <w:style w:type="character" w:styleId="842">
    <w:name w:val="Верхний колонтитул Знак_7"/>
    <w:next w:val="842"/>
    <w:link w:val="840"/>
    <w:uiPriority w:val="99"/>
    <w:semiHidden/>
    <w:rPr>
      <w:sz w:val="24"/>
      <w:szCs w:val="24"/>
    </w:rPr>
  </w:style>
  <w:style w:type="paragraph" w:styleId="843">
    <w:name w:val="Header_8"/>
    <w:basedOn w:val="844"/>
    <w:next w:val="843"/>
    <w:link w:val="845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Normal_9"/>
    <w:next w:val="844"/>
    <w:link w:val="808"/>
    <w:qFormat/>
    <w:rPr>
      <w:sz w:val="24"/>
      <w:szCs w:val="24"/>
      <w:lang w:val="ru-RU" w:eastAsia="ru-RU" w:bidi="ar-SA"/>
    </w:rPr>
  </w:style>
  <w:style w:type="character" w:styleId="845">
    <w:name w:val="Верхний колонтитул Знак_8"/>
    <w:next w:val="845"/>
    <w:link w:val="843"/>
    <w:uiPriority w:val="99"/>
    <w:semiHidden/>
    <w:rPr>
      <w:rFonts w:cs="Times New Roman"/>
      <w:sz w:val="24"/>
      <w:szCs w:val="24"/>
    </w:rPr>
  </w:style>
  <w:style w:type="paragraph" w:styleId="846">
    <w:name w:val="Header_9"/>
    <w:basedOn w:val="847"/>
    <w:next w:val="846"/>
    <w:link w:val="848"/>
    <w:uiPriority w:val="99"/>
    <w:pPr>
      <w:tabs>
        <w:tab w:val="center" w:pos="4677" w:leader="none"/>
        <w:tab w:val="right" w:pos="9355" w:leader="none"/>
      </w:tabs>
    </w:pPr>
  </w:style>
  <w:style w:type="paragraph" w:styleId="847">
    <w:name w:val="Normal_10"/>
    <w:next w:val="847"/>
    <w:link w:val="808"/>
    <w:qFormat/>
    <w:rPr>
      <w:sz w:val="24"/>
      <w:szCs w:val="24"/>
      <w:lang w:val="ru-RU" w:eastAsia="ru-RU" w:bidi="ar-SA"/>
    </w:rPr>
  </w:style>
  <w:style w:type="character" w:styleId="848">
    <w:name w:val="Верхний колонтитул Знак_9"/>
    <w:next w:val="848"/>
    <w:link w:val="846"/>
    <w:uiPriority w:val="99"/>
    <w:semiHidden/>
    <w:rPr>
      <w:rFonts w:cs="Times New Roman"/>
      <w:sz w:val="24"/>
      <w:szCs w:val="24"/>
    </w:rPr>
  </w:style>
  <w:style w:type="paragraph" w:styleId="849">
    <w:name w:val="Normal_11"/>
    <w:next w:val="849"/>
    <w:link w:val="808"/>
    <w:qFormat/>
    <w:rPr>
      <w:rFonts w:eastAsia="Calibri"/>
      <w:sz w:val="28"/>
      <w:lang w:val="ru-RU" w:eastAsia="ru-RU" w:bidi="ar-SA"/>
    </w:rPr>
  </w:style>
  <w:style w:type="paragraph" w:styleId="850">
    <w:name w:val="Normal_12"/>
    <w:next w:val="850"/>
    <w:link w:val="808"/>
    <w:qFormat/>
    <w:rPr>
      <w:rFonts w:eastAsia="Calibri"/>
      <w:sz w:val="28"/>
      <w:lang w:val="ru-RU" w:eastAsia="ru-RU" w:bidi="ar-SA"/>
    </w:rPr>
  </w:style>
  <w:style w:type="table" w:styleId="851">
    <w:name w:val="Table Grid_0"/>
    <w:basedOn w:val="810"/>
    <w:next w:val="851"/>
    <w:link w:val="808"/>
    <w:uiPriority w:val="59"/>
    <w:pPr>
      <w:spacing w:after="0" w:line="240" w:lineRule="auto"/>
    </w:pPr>
    <w:rPr>
      <w:rFonts w:eastAsia="Calibri" w:cs="Times New Roman"/>
    </w:rPr>
    <w:tblPr/>
  </w:style>
  <w:style w:type="paragraph" w:styleId="852">
    <w:name w:val="Normal_13"/>
    <w:next w:val="852"/>
    <w:link w:val="808"/>
    <w:qFormat/>
    <w:rPr>
      <w:rFonts w:eastAsia="Calibri"/>
      <w:sz w:val="28"/>
      <w:lang w:val="ru-RU" w:eastAsia="ru-RU" w:bidi="ar-SA"/>
    </w:rPr>
  </w:style>
  <w:style w:type="character" w:styleId="4984" w:default="1">
    <w:name w:val="Default Paragraph Font"/>
    <w:uiPriority w:val="1"/>
    <w:semiHidden/>
    <w:unhideWhenUsed/>
  </w:style>
  <w:style w:type="numbering" w:styleId="4985" w:default="1">
    <w:name w:val="No List"/>
    <w:uiPriority w:val="99"/>
    <w:semiHidden/>
    <w:unhideWhenUsed/>
  </w:style>
  <w:style w:type="table" w:styleId="49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Чистова Ирина Юрьевна</dc:creator>
  <cp:revision>4</cp:revision>
  <dcterms:created xsi:type="dcterms:W3CDTF">2024-07-03T07:17:00Z</dcterms:created>
  <dcterms:modified xsi:type="dcterms:W3CDTF">2024-07-04T06:37:16Z</dcterms:modified>
  <cp:version>1048576</cp:version>
</cp:coreProperties>
</file>